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4394" w14:textId="3CC68B2B" w:rsidR="0059451D" w:rsidRDefault="0059451D">
      <w:pPr>
        <w:rPr>
          <w:lang w:val="sr-Cyrl-RS"/>
        </w:rPr>
      </w:pPr>
    </w:p>
    <w:p w14:paraId="27D5B927" w14:textId="4D2CE06A" w:rsidR="00D166E6" w:rsidRDefault="00D166E6">
      <w:pPr>
        <w:rPr>
          <w:lang w:val="sr-Cyrl-RS"/>
        </w:rPr>
      </w:pPr>
    </w:p>
    <w:p w14:paraId="4DAA14C7" w14:textId="10EC0112" w:rsidR="00D166E6" w:rsidRDefault="00D166E6">
      <w:pPr>
        <w:rPr>
          <w:lang w:val="sr-Cyrl-RS"/>
        </w:rPr>
      </w:pPr>
    </w:p>
    <w:p w14:paraId="48F1BCCC" w14:textId="7CE4ACDB" w:rsidR="00D166E6" w:rsidRDefault="00D166E6">
      <w:pPr>
        <w:rPr>
          <w:lang w:val="sr-Cyrl-RS"/>
        </w:rPr>
      </w:pPr>
    </w:p>
    <w:p w14:paraId="36425ECB" w14:textId="77777777" w:rsidR="00C932B4" w:rsidRDefault="00C932B4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</w:t>
      </w:r>
      <w:r w:rsidR="00D166E6" w:rsidRPr="006B0A91">
        <w:rPr>
          <w:rFonts w:ascii="Arial" w:hAnsi="Arial" w:cs="Arial"/>
          <w:b/>
          <w:bCs/>
          <w:sz w:val="48"/>
          <w:szCs w:val="48"/>
          <w:lang w:val="sr-Cyrl-RS"/>
        </w:rPr>
        <w:t xml:space="preserve">ПЛАН  УПРАВЉАЊА   РИЗИЦИМА   </w:t>
      </w:r>
      <w:r w:rsidR="006B0A91">
        <w:rPr>
          <w:rFonts w:ascii="Arial" w:hAnsi="Arial" w:cs="Arial"/>
          <w:b/>
          <w:bCs/>
          <w:sz w:val="48"/>
          <w:szCs w:val="48"/>
          <w:lang w:val="sr-Cyrl-RS"/>
        </w:rPr>
        <w:t xml:space="preserve">  </w:t>
      </w:r>
      <w:r>
        <w:rPr>
          <w:rFonts w:ascii="Arial" w:hAnsi="Arial" w:cs="Arial"/>
          <w:b/>
          <w:bCs/>
          <w:sz w:val="48"/>
          <w:szCs w:val="48"/>
        </w:rPr>
        <w:t xml:space="preserve">   </w:t>
      </w:r>
    </w:p>
    <w:p w14:paraId="2702110D" w14:textId="4E1268CF" w:rsidR="006B0A91" w:rsidRDefault="00C932B4">
      <w:pPr>
        <w:rPr>
          <w:rFonts w:ascii="Arial" w:hAnsi="Arial" w:cs="Arial"/>
          <w:b/>
          <w:bCs/>
          <w:sz w:val="48"/>
          <w:szCs w:val="48"/>
          <w:lang w:val="sr-Cyrl-RS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</w:t>
      </w:r>
      <w:r>
        <w:rPr>
          <w:rFonts w:ascii="Arial" w:hAnsi="Arial" w:cs="Arial"/>
          <w:b/>
          <w:bCs/>
          <w:sz w:val="48"/>
          <w:szCs w:val="48"/>
          <w:lang w:val="sr-Cyrl-RS"/>
        </w:rPr>
        <w:t>ОД ПОВРЕДЕ ПРИНЦИПА РОДНЕ</w:t>
      </w:r>
      <w:r w:rsidR="00D166E6" w:rsidRPr="006B0A91">
        <w:rPr>
          <w:rFonts w:ascii="Arial" w:hAnsi="Arial" w:cs="Arial"/>
          <w:b/>
          <w:bCs/>
          <w:sz w:val="48"/>
          <w:szCs w:val="48"/>
          <w:lang w:val="sr-Cyrl-RS"/>
        </w:rPr>
        <w:t xml:space="preserve">  </w:t>
      </w:r>
      <w:r w:rsidR="006B0A91">
        <w:rPr>
          <w:rFonts w:ascii="Arial" w:hAnsi="Arial" w:cs="Arial"/>
          <w:b/>
          <w:bCs/>
          <w:sz w:val="48"/>
          <w:szCs w:val="48"/>
          <w:lang w:val="sr-Cyrl-RS"/>
        </w:rPr>
        <w:t xml:space="preserve"> </w:t>
      </w:r>
    </w:p>
    <w:p w14:paraId="49B3992C" w14:textId="334BA039" w:rsidR="006B0A91" w:rsidRDefault="006B0A91">
      <w:pPr>
        <w:rPr>
          <w:rFonts w:ascii="Arial" w:hAnsi="Arial" w:cs="Arial"/>
          <w:b/>
          <w:bCs/>
          <w:sz w:val="48"/>
          <w:szCs w:val="48"/>
          <w:lang w:val="sr-Cyrl-RS"/>
        </w:rPr>
      </w:pPr>
      <w:r>
        <w:rPr>
          <w:rFonts w:ascii="Arial" w:hAnsi="Arial" w:cs="Arial"/>
          <w:b/>
          <w:bCs/>
          <w:sz w:val="48"/>
          <w:szCs w:val="48"/>
          <w:lang w:val="sr-Cyrl-RS"/>
        </w:rPr>
        <w:t xml:space="preserve">           </w:t>
      </w:r>
      <w:r w:rsidR="00C932B4">
        <w:rPr>
          <w:rFonts w:ascii="Arial" w:hAnsi="Arial" w:cs="Arial"/>
          <w:b/>
          <w:bCs/>
          <w:sz w:val="48"/>
          <w:szCs w:val="48"/>
          <w:lang w:val="sr-Cyrl-RS"/>
        </w:rPr>
        <w:t xml:space="preserve">   </w:t>
      </w:r>
      <w:r>
        <w:rPr>
          <w:rFonts w:ascii="Arial" w:hAnsi="Arial" w:cs="Arial"/>
          <w:b/>
          <w:bCs/>
          <w:sz w:val="48"/>
          <w:szCs w:val="48"/>
          <w:lang w:val="sr-Cyrl-RS"/>
        </w:rPr>
        <w:t xml:space="preserve"> РАВНОПРАВНОСТИ</w:t>
      </w:r>
    </w:p>
    <w:p w14:paraId="717ED85F" w14:textId="77777777" w:rsidR="006B0A91" w:rsidRDefault="006B0A91">
      <w:pPr>
        <w:rPr>
          <w:rFonts w:ascii="Arial" w:hAnsi="Arial" w:cs="Arial"/>
          <w:b/>
          <w:bCs/>
          <w:sz w:val="48"/>
          <w:szCs w:val="48"/>
          <w:lang w:val="sr-Cyrl-RS"/>
        </w:rPr>
      </w:pPr>
    </w:p>
    <w:p w14:paraId="69499F1F" w14:textId="77777777" w:rsidR="006B0A91" w:rsidRDefault="006B0A91">
      <w:pPr>
        <w:rPr>
          <w:rFonts w:ascii="Arial" w:hAnsi="Arial" w:cs="Arial"/>
          <w:b/>
          <w:bCs/>
          <w:sz w:val="48"/>
          <w:szCs w:val="48"/>
          <w:lang w:val="sr-Cyrl-RS"/>
        </w:rPr>
      </w:pPr>
    </w:p>
    <w:p w14:paraId="5E55A76E" w14:textId="1990431D" w:rsidR="00D166E6" w:rsidRDefault="006B0A91">
      <w:pPr>
        <w:rPr>
          <w:rFonts w:ascii="Arial" w:hAnsi="Arial" w:cs="Arial"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48"/>
          <w:szCs w:val="48"/>
          <w:lang w:val="sr-Cyrl-RS"/>
        </w:rPr>
        <w:t xml:space="preserve"> </w:t>
      </w:r>
      <w:r w:rsidR="00C932B4">
        <w:rPr>
          <w:rFonts w:ascii="Arial" w:hAnsi="Arial" w:cs="Arial"/>
          <w:b/>
          <w:bCs/>
          <w:sz w:val="48"/>
          <w:szCs w:val="48"/>
        </w:rPr>
        <w:t xml:space="preserve">    </w:t>
      </w:r>
      <w:r>
        <w:rPr>
          <w:rFonts w:ascii="Arial" w:hAnsi="Arial" w:cs="Arial"/>
          <w:sz w:val="32"/>
          <w:szCs w:val="32"/>
          <w:lang w:val="sr-Cyrl-RS"/>
        </w:rPr>
        <w:t xml:space="preserve">Народно позориште  </w:t>
      </w:r>
      <w:r>
        <w:rPr>
          <w:rFonts w:ascii="Arial" w:hAnsi="Arial" w:cs="Arial"/>
          <w:sz w:val="32"/>
          <w:szCs w:val="32"/>
          <w:lang w:val="sr-Latn-RS"/>
        </w:rPr>
        <w:t xml:space="preserve">Narodno kazalište – </w:t>
      </w:r>
      <w:r>
        <w:rPr>
          <w:rFonts w:ascii="Arial" w:hAnsi="Arial" w:cs="Arial"/>
          <w:sz w:val="32"/>
          <w:szCs w:val="32"/>
          <w:lang w:val="hu-HU"/>
        </w:rPr>
        <w:t>Népszínház</w:t>
      </w:r>
    </w:p>
    <w:p w14:paraId="65A8B987" w14:textId="4E6B6BDA" w:rsidR="006B0A91" w:rsidRPr="006B0A91" w:rsidRDefault="006B0A91">
      <w:pPr>
        <w:rPr>
          <w:rFonts w:ascii="Arial" w:hAnsi="Arial" w:cs="Arial"/>
          <w:b/>
          <w:bCs/>
          <w:sz w:val="48"/>
          <w:szCs w:val="48"/>
          <w:lang w:val="sr-Cyrl-RS"/>
        </w:rPr>
      </w:pPr>
      <w:r>
        <w:rPr>
          <w:rFonts w:ascii="Arial" w:hAnsi="Arial" w:cs="Arial"/>
          <w:sz w:val="32"/>
          <w:szCs w:val="32"/>
          <w:lang w:val="hu-HU"/>
        </w:rPr>
        <w:t xml:space="preserve">                         </w:t>
      </w:r>
      <w:r>
        <w:rPr>
          <w:rFonts w:ascii="Arial" w:hAnsi="Arial" w:cs="Arial"/>
          <w:sz w:val="32"/>
          <w:szCs w:val="32"/>
          <w:lang w:val="sr-Cyrl-RS"/>
        </w:rPr>
        <w:t xml:space="preserve">          </w:t>
      </w:r>
      <w:r>
        <w:rPr>
          <w:rFonts w:ascii="Arial" w:hAnsi="Arial" w:cs="Arial"/>
          <w:sz w:val="32"/>
          <w:szCs w:val="32"/>
          <w:lang w:val="hu-HU"/>
        </w:rPr>
        <w:t xml:space="preserve"> </w:t>
      </w:r>
      <w:r w:rsidR="00C932B4">
        <w:rPr>
          <w:rFonts w:ascii="Arial" w:hAnsi="Arial" w:cs="Arial"/>
          <w:sz w:val="32"/>
          <w:szCs w:val="32"/>
          <w:lang w:val="hu-HU"/>
        </w:rPr>
        <w:t xml:space="preserve">    </w:t>
      </w:r>
      <w:r>
        <w:rPr>
          <w:rFonts w:ascii="Arial" w:hAnsi="Arial" w:cs="Arial"/>
          <w:sz w:val="32"/>
          <w:szCs w:val="32"/>
          <w:lang w:val="sr-Cyrl-RS"/>
        </w:rPr>
        <w:t>Суботица</w:t>
      </w:r>
    </w:p>
    <w:p w14:paraId="386F2DF4" w14:textId="1C42B2FF" w:rsidR="00D166E6" w:rsidRPr="007B3189" w:rsidRDefault="00D166E6">
      <w:pPr>
        <w:rPr>
          <w:rFonts w:ascii="Arial" w:hAnsi="Arial" w:cs="Arial"/>
          <w:b/>
          <w:bCs/>
          <w:sz w:val="36"/>
          <w:szCs w:val="36"/>
          <w:lang w:val="sr-Cyrl-RS"/>
        </w:rPr>
      </w:pPr>
    </w:p>
    <w:p w14:paraId="45D9B3CF" w14:textId="4BD3D780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18FF3866" w14:textId="12234DF1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6F71C275" w14:textId="7A3DED46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34C4907D" w14:textId="73E7E133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21B760E8" w14:textId="130D7608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0675CAE8" w14:textId="6FF5CA05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739C764C" w14:textId="77777777" w:rsidR="006E45B8" w:rsidRDefault="006E45B8">
      <w:pPr>
        <w:rPr>
          <w:rFonts w:ascii="Arial" w:hAnsi="Arial" w:cs="Arial"/>
          <w:sz w:val="36"/>
          <w:szCs w:val="36"/>
          <w:lang w:val="sr-Cyrl-RS"/>
        </w:rPr>
      </w:pPr>
    </w:p>
    <w:p w14:paraId="4354144F" w14:textId="0B9BE329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766641CE" w14:textId="4BF77897" w:rsidR="00D166E6" w:rsidRDefault="00D166E6">
      <w:pPr>
        <w:rPr>
          <w:rFonts w:ascii="Arial" w:hAnsi="Arial" w:cs="Arial"/>
          <w:sz w:val="36"/>
          <w:szCs w:val="36"/>
          <w:lang w:val="sr-Cyrl-RS"/>
        </w:rPr>
      </w:pPr>
    </w:p>
    <w:p w14:paraId="6CB5B67F" w14:textId="69D945E0" w:rsidR="006B0A91" w:rsidRPr="006E45B8" w:rsidRDefault="006B0A91" w:rsidP="006B0A91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lastRenderedPageBreak/>
        <w:t xml:space="preserve">На основу члана 19. Закона о родној равноправности ( „Сл.гласник РС“ бр.52/21 ) за потребе Народног  позоришта </w:t>
      </w:r>
      <w:r w:rsidRPr="006E45B8">
        <w:rPr>
          <w:rFonts w:ascii="Arial" w:hAnsi="Arial" w:cs="Arial"/>
          <w:lang w:val="sr-Latn-RS"/>
        </w:rPr>
        <w:t>-</w:t>
      </w:r>
      <w:r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Latn-RS"/>
        </w:rPr>
        <w:t xml:space="preserve">Narodnog  kazališta  - </w:t>
      </w:r>
      <w:r w:rsidRPr="006E45B8">
        <w:rPr>
          <w:rFonts w:ascii="Arial" w:hAnsi="Arial" w:cs="Arial"/>
          <w:lang w:val="hu-HU"/>
        </w:rPr>
        <w:t xml:space="preserve">Népszínház  </w:t>
      </w:r>
      <w:r w:rsidRPr="006E45B8">
        <w:rPr>
          <w:rFonts w:ascii="Arial" w:hAnsi="Arial" w:cs="Arial"/>
          <w:lang w:val="sr-Cyrl-RS"/>
        </w:rPr>
        <w:t>Суботица</w:t>
      </w:r>
      <w:r w:rsidRPr="006E45B8">
        <w:rPr>
          <w:rFonts w:ascii="Arial" w:hAnsi="Arial" w:cs="Arial"/>
          <w:lang w:val="sr-Latn-RS"/>
        </w:rPr>
        <w:t xml:space="preserve"> </w:t>
      </w:r>
      <w:r w:rsidRPr="006E45B8">
        <w:rPr>
          <w:rFonts w:ascii="Arial" w:hAnsi="Arial" w:cs="Arial"/>
          <w:lang w:val="sr-Cyrl-RS"/>
        </w:rPr>
        <w:t>доноси се следећи акт:</w:t>
      </w:r>
    </w:p>
    <w:p w14:paraId="4E3DC39B" w14:textId="77777777" w:rsidR="006B0A91" w:rsidRPr="006E45B8" w:rsidRDefault="006B0A91" w:rsidP="006B0A91">
      <w:pPr>
        <w:rPr>
          <w:rFonts w:ascii="Arial" w:hAnsi="Arial" w:cs="Arial"/>
          <w:b/>
          <w:bCs/>
          <w:lang w:val="sr-Cyrl-RS"/>
        </w:rPr>
      </w:pPr>
      <w:r w:rsidRPr="006E45B8">
        <w:rPr>
          <w:rFonts w:ascii="Arial" w:hAnsi="Arial" w:cs="Arial"/>
          <w:b/>
          <w:bCs/>
          <w:lang w:val="sr-Cyrl-RS"/>
        </w:rPr>
        <w:t xml:space="preserve">ПЛАН  УПРАВЉАЊА   РИЗИЦИМА     ОД ПОВРЕДЕ ПРИНЦИПА  РОДНЕ   </w:t>
      </w:r>
    </w:p>
    <w:p w14:paraId="4F5A9ADC" w14:textId="774E6812" w:rsidR="006B0A91" w:rsidRPr="006E45B8" w:rsidRDefault="006B0A91" w:rsidP="006B0A91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b/>
          <w:bCs/>
          <w:lang w:val="sr-Cyrl-RS"/>
        </w:rPr>
        <w:t xml:space="preserve">           </w:t>
      </w:r>
      <w:r w:rsidR="00C932B4" w:rsidRPr="006E45B8">
        <w:rPr>
          <w:rFonts w:ascii="Arial" w:hAnsi="Arial" w:cs="Arial"/>
          <w:b/>
          <w:bCs/>
          <w:lang w:val="sr-Cyrl-RS"/>
        </w:rPr>
        <w:t xml:space="preserve">                                  </w:t>
      </w:r>
      <w:r w:rsidRPr="006E45B8">
        <w:rPr>
          <w:rFonts w:ascii="Arial" w:hAnsi="Arial" w:cs="Arial"/>
          <w:b/>
          <w:bCs/>
          <w:lang w:val="sr-Cyrl-RS"/>
        </w:rPr>
        <w:t xml:space="preserve"> РАВНОПРАВНОСТИ</w:t>
      </w:r>
    </w:p>
    <w:p w14:paraId="430B1BCF" w14:textId="5BD6F3BE" w:rsidR="006B0A91" w:rsidRPr="006E45B8" w:rsidRDefault="006B0A91">
      <w:pPr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t>САДРЖАЈ</w:t>
      </w:r>
    </w:p>
    <w:p w14:paraId="6051AA45" w14:textId="1696EF44" w:rsidR="006B0A91" w:rsidRPr="006E45B8" w:rsidRDefault="006B0A91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Увод</w:t>
      </w:r>
    </w:p>
    <w:p w14:paraId="3765C065" w14:textId="65F207BE" w:rsidR="006B0A91" w:rsidRPr="006E45B8" w:rsidRDefault="006B0A91">
      <w:pPr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t>1.ОПШТИ ДЕО</w:t>
      </w:r>
    </w:p>
    <w:p w14:paraId="111FF445" w14:textId="396D6B1F" w:rsidR="006B0A91" w:rsidRPr="006E45B8" w:rsidRDefault="006B0A91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1.1. Назив, подаци о седишту и одговорном лицу за координацију током изреде плана</w:t>
      </w:r>
    </w:p>
    <w:p w14:paraId="35B344DA" w14:textId="313F62A3" w:rsidR="006B0A91" w:rsidRPr="006E45B8" w:rsidRDefault="006B0A91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1.2. Росетљива статистика</w:t>
      </w:r>
    </w:p>
    <w:p w14:paraId="67B7E672" w14:textId="22D7601B" w:rsidR="006B0A91" w:rsidRPr="006E45B8" w:rsidRDefault="006B0A91">
      <w:pPr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t>2. ОБЛАСТИ И ПРОЦЕСИ КОЈИ СУ РИЗИЧНИ ЗА ПОВРЕДУ ПРИНЦИПА РОДНЕ РАВНОПРАВНОСТИ</w:t>
      </w:r>
    </w:p>
    <w:p w14:paraId="3B8EA3C8" w14:textId="0B2835B1" w:rsidR="00C774F8" w:rsidRPr="006E45B8" w:rsidRDefault="00C774F8">
      <w:pPr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t>3. МЕРЕ ЗА ОСТВАРИВАЊЕ И УНАПРЕЂЕЊЕ РОДНЕ РАВНОПРАВНОСТИ</w:t>
      </w:r>
    </w:p>
    <w:p w14:paraId="20A08E56" w14:textId="5EECA2E0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3.1. Опште мере</w:t>
      </w:r>
    </w:p>
    <w:p w14:paraId="37315626" w14:textId="45B7F979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3.2. Посебне мере</w:t>
      </w:r>
    </w:p>
    <w:p w14:paraId="3DEA64F5" w14:textId="1195EC07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 3.2.1. Мере које се одређују у случајевима осетно неуравнотежене заступљености полова</w:t>
      </w:r>
    </w:p>
    <w:p w14:paraId="3F8C8C34" w14:textId="02A5A0FD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 3.2.2.Подстицајне мере.</w:t>
      </w:r>
    </w:p>
    <w:p w14:paraId="271DB9F1" w14:textId="19A1F797" w:rsidR="00C774F8" w:rsidRPr="006E45B8" w:rsidRDefault="00C774F8">
      <w:pPr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t>4.ПОДАЦИ О ЛИЦИМА ОДГОВОРНИМ ЗА СПРОВОЂЕЊЕ МЕРА ИЗ ПЛАНА УПРАВЉАЊА РИЗИЦИМА</w:t>
      </w:r>
    </w:p>
    <w:p w14:paraId="75A41E50" w14:textId="1F641507" w:rsidR="00C774F8" w:rsidRPr="006E45B8" w:rsidRDefault="00C774F8">
      <w:pPr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t>РЕЗИМЕ</w:t>
      </w:r>
    </w:p>
    <w:p w14:paraId="5D877207" w14:textId="61AFDF58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Прилози:</w:t>
      </w:r>
    </w:p>
    <w:p w14:paraId="3318302D" w14:textId="4DB0DE89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1.Одлука о именовању лица за спровођење мера из области родне равноправности и Одлука о усвајању Плана</w:t>
      </w:r>
    </w:p>
    <w:p w14:paraId="1555FB2C" w14:textId="227398CA" w:rsidR="00C774F8" w:rsidRPr="006E45B8" w:rsidRDefault="00C774F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2.Списак државних органа и организација цивилног друштва које се баве унапређењем принципа родне равноправности</w:t>
      </w:r>
    </w:p>
    <w:p w14:paraId="1E978C94" w14:textId="77777777" w:rsidR="00C774F8" w:rsidRPr="006E45B8" w:rsidRDefault="00C774F8">
      <w:pPr>
        <w:rPr>
          <w:rFonts w:ascii="Arial" w:hAnsi="Arial" w:cs="Arial"/>
          <w:lang w:val="sr-Cyrl-RS"/>
        </w:rPr>
      </w:pPr>
    </w:p>
    <w:p w14:paraId="10FDEDCB" w14:textId="7898434F" w:rsidR="00F47BF0" w:rsidRPr="006E45B8" w:rsidRDefault="00F47BF0">
      <w:pPr>
        <w:rPr>
          <w:rFonts w:ascii="Arial" w:hAnsi="Arial" w:cs="Arial"/>
          <w:lang w:val="sr-Cyrl-RS"/>
        </w:rPr>
      </w:pPr>
    </w:p>
    <w:p w14:paraId="045B213E" w14:textId="77777777" w:rsidR="00F47BF0" w:rsidRDefault="00F47BF0">
      <w:pPr>
        <w:rPr>
          <w:rFonts w:ascii="Arial" w:hAnsi="Arial" w:cs="Arial"/>
          <w:lang w:val="sr-Cyrl-RS"/>
        </w:rPr>
      </w:pPr>
    </w:p>
    <w:p w14:paraId="54732E41" w14:textId="77777777" w:rsidR="006E45B8" w:rsidRDefault="006E45B8">
      <w:pPr>
        <w:rPr>
          <w:rFonts w:ascii="Arial" w:hAnsi="Arial" w:cs="Arial"/>
          <w:lang w:val="sr-Cyrl-RS"/>
        </w:rPr>
      </w:pPr>
    </w:p>
    <w:p w14:paraId="61C25C23" w14:textId="77777777" w:rsidR="006E45B8" w:rsidRDefault="006E45B8">
      <w:pPr>
        <w:rPr>
          <w:rFonts w:ascii="Arial" w:hAnsi="Arial" w:cs="Arial"/>
          <w:lang w:val="sr-Cyrl-RS"/>
        </w:rPr>
      </w:pPr>
    </w:p>
    <w:p w14:paraId="78559376" w14:textId="77777777" w:rsidR="006E45B8" w:rsidRPr="006E45B8" w:rsidRDefault="006E45B8">
      <w:pPr>
        <w:rPr>
          <w:rFonts w:ascii="Arial" w:hAnsi="Arial" w:cs="Arial"/>
          <w:lang w:val="sr-Cyrl-RS"/>
        </w:rPr>
      </w:pPr>
    </w:p>
    <w:p w14:paraId="0831FA78" w14:textId="77777777" w:rsidR="00F47BF0" w:rsidRPr="006E45B8" w:rsidRDefault="00F47BF0">
      <w:pPr>
        <w:rPr>
          <w:rFonts w:ascii="Arial" w:hAnsi="Arial" w:cs="Arial"/>
          <w:lang w:val="sr-Cyrl-RS"/>
        </w:rPr>
      </w:pPr>
    </w:p>
    <w:p w14:paraId="466537A6" w14:textId="77777777" w:rsidR="00F47BF0" w:rsidRPr="006E45B8" w:rsidRDefault="00F47BF0" w:rsidP="00F47BF0">
      <w:pPr>
        <w:jc w:val="both"/>
        <w:rPr>
          <w:rFonts w:ascii="Arial" w:hAnsi="Arial" w:cs="Arial"/>
          <w:b/>
          <w:lang w:val="sr-Cyrl-RS"/>
        </w:rPr>
      </w:pPr>
      <w:r w:rsidRPr="006E45B8">
        <w:rPr>
          <w:rFonts w:ascii="Arial" w:hAnsi="Arial" w:cs="Arial"/>
          <w:b/>
          <w:lang w:val="sr-Cyrl-RS"/>
        </w:rPr>
        <w:lastRenderedPageBreak/>
        <w:t>УВОД</w:t>
      </w:r>
    </w:p>
    <w:p w14:paraId="56D48858" w14:textId="6A44CC7E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Родна равноправност подразумева једнака права, одговорности и могућности,</w:t>
      </w:r>
      <w:r w:rsidR="00C932B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равномерно учешће и уравнотежену заступљеност жена и мушкараца у свим областима друштвеног живота, једнаке могућности за остваривање права и слобода, коришћење личних знања и способности за лични развој и развој друштва, једнаке могућности и права у приступу робама и услугама, као и остваривање једнаке користи од резултата рада, уз уважавање биолошких, друштвених и културолошки формираних разлика између мушкараца и жена и различитих интереса, потреба и приоритета жена и мушкараца приликом доношења јавних и других политика и одлучивања о правима, обавезама и на закону заснованим одредбама, као и уставним одредбама.</w:t>
      </w:r>
    </w:p>
    <w:p w14:paraId="16DAC432" w14:textId="7F1C9319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Дискриминација на основу пола, полних карактеристика, односно рода, јесте свако неоправдано разликовање, неједнако поступање, односно пропуштање (искључивање,ограничавање или давање првенства), на отворен или прикривен начин, у односу на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лица или групе лица, као и чланове њихових породица или њима блиска лица,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засновано на полу, полним карактеристикама, односно роду у: политичкој, образовној,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медијској и економској области; области запошљавања, занимања и рада,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самозапошљавања, заштите потрошача (робе и услуге); здравственом осигурању 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заштити; социјалном осигурању и заштити, у браку и породичним односима; области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безбедности; екологији; области културе; спорту и рекреацији; као и у области јавног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оглашавања и другим областима друштвеног живота.</w:t>
      </w:r>
    </w:p>
    <w:p w14:paraId="4362CC70" w14:textId="0AA1AB03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Непосредна дискриминација на основу пола, полних карактеристика, односно рода,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постоји ако се лице или група лица, због њиховог пола, полних карактеристика,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односно рода, у истој или сличној ситуацији, било којим актом, радњом или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пропуштањем, стављају или су стављени у неповољнији положај, или би могли бити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стављени у неповољнији положај.</w:t>
      </w:r>
    </w:p>
    <w:p w14:paraId="64D76848" w14:textId="4A5D2A46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Посредна дискриминација на основу пола, полних карактеристика, односно рода,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постоји ако, на изглед неутрална одредба, критеријум или пракса, лице или групу лица,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ставља или би могла ставити, због њиховог пола, полних карактеристика, односно рода,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у неповољан положај у поређењу са другим лицима у истој или сличној ситуацији,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осим ако је то објективно оправдано законитим циљем, а средства за постизање тог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циља су примерена и нужна.</w:t>
      </w:r>
    </w:p>
    <w:p w14:paraId="17BD79BC" w14:textId="2A0F0E27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Дискриминација на основу пола, полних карактеристика, односно рода постоји ако се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према лицу или групи лица неоправдано поступа неповољније него што се поступа или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би се поступало према другима, искључиво или углавном због тога што су тражили,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односно намеравају да траже заштиту од дискриминације на основу пола, односно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рода, или због тога што су понудили или намеравају да понуде доказе о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дискриминаторском поступању.</w:t>
      </w:r>
    </w:p>
    <w:p w14:paraId="2141F7BD" w14:textId="07789789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Дискриминацијом на основу пола, полних карактеристика, односно рода, сматра се 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узнемиравање, понижавајуће поступање, претње и условљавање, сексуално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узнемиравање и сексуално уцењивање, родно заснован говор мржње, насиље засновано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на полу, полним карактеристикама, односно роду или промени пола, насиље према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женама, неједнако поступање на основу трудноће, породиљског одсуства, одсуства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ради неге детета, одсуства ради посебне неге детета у својству очинства и материнства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(родитељства), усвојења, хранитељства, старатељства и подстицање на дискриминацију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lastRenderedPageBreak/>
        <w:t>као и сваки неповољнији третман који лице има због одбијања или трпљења таквог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понашања.</w:t>
      </w:r>
    </w:p>
    <w:p w14:paraId="28511888" w14:textId="1BDE1ABE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Дискриминација лица по основу два или више личних својстава без обзира на то да ли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се утицај поједних личних својстава може разграничити је вишеструка дискриминација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или се не може разграничити (интерсексијска дискриминација).</w:t>
      </w:r>
    </w:p>
    <w:p w14:paraId="46E19E7B" w14:textId="77777777" w:rsidR="00EE1B74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Законом о родној равноправности уређује се појам, значење и мере политике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остваривања и унапређења родне равноправности, као и врсте планских аката у области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родне равноправности, надзор над применом закона и друга питања од значаја за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 xml:space="preserve">остваривање и унапређење родне равноправности. </w:t>
      </w:r>
    </w:p>
    <w:p w14:paraId="600F3F9B" w14:textId="305F52A2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Овим законом се уређују обавезе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органа јавне власти, послодаваца и других социјалних партнера да интегришу родну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перспективу у области у којој делују.</w:t>
      </w:r>
    </w:p>
    <w:p w14:paraId="5D072C55" w14:textId="5B684A03" w:rsidR="00F47BF0" w:rsidRPr="006E45B8" w:rsidRDefault="00F47BF0" w:rsidP="00F47BF0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Чланом 13. Закона о родној равноправности дефинисане су врсте планских аката, међукоје спада и План управљања ризицима од повреде принципа равноправности. План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управљања ризицима од повреде принципа родне равноправности предвиђен чл.19.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представља гаранцију родне перспективе, уродњавања и уравнотежене заступљености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полова у поступањима органа јавне власти, послодаваца, осигуравајућих друштава,</w:t>
      </w:r>
      <w:r w:rsidR="00EE1B74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политичких странака, синдикалних организација и других организација и удружења.</w:t>
      </w:r>
    </w:p>
    <w:p w14:paraId="3E0D5B8A" w14:textId="77777777" w:rsidR="00F47BF0" w:rsidRPr="006E45B8" w:rsidRDefault="00F47BF0">
      <w:pPr>
        <w:rPr>
          <w:rFonts w:ascii="Arial" w:hAnsi="Arial" w:cs="Arial"/>
          <w:lang w:val="sr-Cyrl-RS"/>
        </w:rPr>
      </w:pPr>
    </w:p>
    <w:p w14:paraId="4F175D59" w14:textId="360D79FB" w:rsidR="00EA58A9" w:rsidRPr="006E45B8" w:rsidRDefault="00B674F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Правна регулатива на основу које је израђен План управљања ризицима од повреде принципа родне равноправности.</w:t>
      </w:r>
    </w:p>
    <w:p w14:paraId="0FE27F22" w14:textId="77777777" w:rsidR="00EA58A9" w:rsidRPr="006E45B8" w:rsidRDefault="00EA58A9">
      <w:pPr>
        <w:rPr>
          <w:rFonts w:ascii="Arial" w:hAnsi="Arial" w:cs="Arial"/>
          <w:b/>
          <w:bCs/>
          <w:lang w:val="sr-Cyrl-RS"/>
        </w:rPr>
      </w:pPr>
      <w:r w:rsidRPr="006E45B8">
        <w:rPr>
          <w:rFonts w:ascii="Arial" w:hAnsi="Arial" w:cs="Arial"/>
          <w:b/>
          <w:bCs/>
          <w:lang w:val="sr-Cyrl-RS"/>
        </w:rPr>
        <w:t>Међународни акти:</w:t>
      </w:r>
    </w:p>
    <w:p w14:paraId="35A1B764" w14:textId="0D1D60B1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1.Повеља УН</w:t>
      </w:r>
    </w:p>
    <w:p w14:paraId="3B131A3A" w14:textId="345DCA85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2.Универзална декларација о људским правима (1948)</w:t>
      </w:r>
    </w:p>
    <w:p w14:paraId="75663259" w14:textId="1943B3EB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3.Европска повеља о људским правима (1950)</w:t>
      </w:r>
    </w:p>
    <w:p w14:paraId="5559FB36" w14:textId="7A58D897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4.Међународни пакт о грађанским и политичким правима (1966)</w:t>
      </w:r>
    </w:p>
    <w:p w14:paraId="3D7A1790" w14:textId="4A11621F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5.Међународни пакт о економским, социјалним и културним правима (1966)</w:t>
      </w:r>
    </w:p>
    <w:p w14:paraId="17EE17AE" w14:textId="7FBC3F9E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6.Конвенција о правима детета (1989) и протокол уз конвенцију</w:t>
      </w:r>
    </w:p>
    <w:p w14:paraId="73E19911" w14:textId="10028A91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7.Конвенција о правима особа са инвалидитетом (2006)</w:t>
      </w:r>
    </w:p>
    <w:p w14:paraId="4C8A8B0E" w14:textId="0098D601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8.Конвенција о спречавању свих облика дискриминације жена (</w:t>
      </w:r>
      <w:r w:rsidRPr="006E45B8">
        <w:rPr>
          <w:rFonts w:ascii="Arial" w:hAnsi="Arial" w:cs="Arial"/>
        </w:rPr>
        <w:t>CEDAW</w:t>
      </w:r>
      <w:r w:rsidRPr="006E45B8">
        <w:rPr>
          <w:rFonts w:ascii="Arial" w:hAnsi="Arial" w:cs="Arial"/>
          <w:lang w:val="sr-Cyrl-RS"/>
        </w:rPr>
        <w:t>)</w:t>
      </w:r>
    </w:p>
    <w:p w14:paraId="0256A255" w14:textId="2237310F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9.Резолуција СБУН-жене, мир и безбедност</w:t>
      </w:r>
    </w:p>
    <w:p w14:paraId="3A61E2D8" w14:textId="480A2AB6" w:rsidR="00EA58A9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10.Резолуција ГСУН 65/69- Жене, разоруж</w:t>
      </w:r>
      <w:r w:rsidR="00C05E49" w:rsidRPr="006E45B8">
        <w:rPr>
          <w:rFonts w:ascii="Arial" w:hAnsi="Arial" w:cs="Arial"/>
          <w:lang w:val="sr-Cyrl-RS"/>
        </w:rPr>
        <w:t>ање, неширење и контрола оружја</w:t>
      </w:r>
    </w:p>
    <w:p w14:paraId="49156062" w14:textId="5C0F3222" w:rsidR="00C05E49" w:rsidRPr="006E45B8" w:rsidRDefault="00C05E4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11.Пекиншка декларација и платформа за акцију (1995)</w:t>
      </w:r>
    </w:p>
    <w:p w14:paraId="4E03240F" w14:textId="1D009FCA" w:rsidR="00C05E49" w:rsidRPr="006E45B8" w:rsidRDefault="00C05E49">
      <w:pPr>
        <w:rPr>
          <w:rFonts w:ascii="Arial" w:hAnsi="Arial" w:cs="Arial"/>
          <w:lang w:val="sr-Latn-RS"/>
        </w:rPr>
      </w:pPr>
      <w:r w:rsidRPr="006E45B8">
        <w:rPr>
          <w:rFonts w:ascii="Arial" w:hAnsi="Arial" w:cs="Arial"/>
          <w:lang w:val="sr-Cyrl-RS"/>
        </w:rPr>
        <w:t xml:space="preserve">12.Специјална сесија ГСУН: Жене 2000:Родна равноправност, развој и мир за 21.век (2000) – Миленијумска декларација УН </w:t>
      </w:r>
      <w:r w:rsidRPr="006E45B8">
        <w:rPr>
          <w:rFonts w:ascii="Arial" w:hAnsi="Arial" w:cs="Arial"/>
          <w:lang w:val="sr-Latn-RS"/>
        </w:rPr>
        <w:t>A/Res/55/2 (2000)</w:t>
      </w:r>
    </w:p>
    <w:p w14:paraId="3BFEBA5C" w14:textId="64E14888" w:rsidR="00C05E49" w:rsidRPr="006E45B8" w:rsidRDefault="00C05E4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Latn-RS"/>
        </w:rPr>
        <w:t>13.</w:t>
      </w:r>
      <w:r w:rsidRPr="006E45B8">
        <w:rPr>
          <w:rFonts w:ascii="Arial" w:hAnsi="Arial" w:cs="Arial"/>
          <w:lang w:val="sr-Cyrl-RS"/>
        </w:rPr>
        <w:t>Директива Савета Европе 78/2000 о дискриминацији,</w:t>
      </w:r>
    </w:p>
    <w:p w14:paraId="31A87049" w14:textId="03C926B2" w:rsidR="00C05E49" w:rsidRPr="006E45B8" w:rsidRDefault="00C05E4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lastRenderedPageBreak/>
        <w:t>14.</w:t>
      </w:r>
      <w:r w:rsidR="00BD1E88" w:rsidRPr="006E45B8">
        <w:rPr>
          <w:rFonts w:ascii="Arial" w:hAnsi="Arial" w:cs="Arial"/>
          <w:lang w:val="sr-Cyrl-RS"/>
        </w:rPr>
        <w:t>Директива 2006/54/ЕЗ о спровођењу принципа једнаких могућности за мушкарце и жене у погледу запошљавања и занимања</w:t>
      </w:r>
    </w:p>
    <w:p w14:paraId="56DE340F" w14:textId="55797CEA" w:rsidR="00BD1E88" w:rsidRPr="006E45B8" w:rsidRDefault="00BD1E88">
      <w:pPr>
        <w:rPr>
          <w:rFonts w:ascii="Arial" w:hAnsi="Arial" w:cs="Arial"/>
          <w:lang w:val="sr-Latn-RS"/>
        </w:rPr>
      </w:pPr>
      <w:r w:rsidRPr="006E45B8">
        <w:rPr>
          <w:rFonts w:ascii="Arial" w:hAnsi="Arial" w:cs="Arial"/>
          <w:lang w:val="sr-Cyrl-RS"/>
        </w:rPr>
        <w:t xml:space="preserve">15.Агенда 2030- циљеви одрживог развоја </w:t>
      </w:r>
      <w:r w:rsidRPr="006E45B8">
        <w:rPr>
          <w:rFonts w:ascii="Arial" w:hAnsi="Arial" w:cs="Arial"/>
          <w:lang w:val="sr-Latn-RS"/>
        </w:rPr>
        <w:t>A/RES/70/1 (2015)</w:t>
      </w:r>
    </w:p>
    <w:p w14:paraId="30B9F25A" w14:textId="113256F0" w:rsidR="00BD1E88" w:rsidRPr="006E45B8" w:rsidRDefault="00BD1E8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Latn-RS"/>
        </w:rPr>
        <w:t>16.</w:t>
      </w:r>
      <w:r w:rsidRPr="006E45B8">
        <w:rPr>
          <w:rFonts w:ascii="Arial" w:hAnsi="Arial" w:cs="Arial"/>
          <w:lang w:val="sr-Cyrl-RS"/>
        </w:rPr>
        <w:t>Европска конвенција за заштиту људских права и основних слобода  и пратећи протоколи</w:t>
      </w:r>
    </w:p>
    <w:p w14:paraId="533DE990" w14:textId="3291E481" w:rsidR="00BD1E88" w:rsidRPr="006E45B8" w:rsidRDefault="00BD1E8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17.Повеља ЕУ о основним правима 2016/</w:t>
      </w:r>
      <w:r w:rsidRPr="006E45B8">
        <w:rPr>
          <w:rFonts w:ascii="Arial" w:hAnsi="Arial" w:cs="Arial"/>
        </w:rPr>
        <w:t>c</w:t>
      </w:r>
      <w:r w:rsidRPr="006E45B8">
        <w:rPr>
          <w:rFonts w:ascii="Arial" w:hAnsi="Arial" w:cs="Arial"/>
          <w:lang w:val="sr-Cyrl-RS"/>
        </w:rPr>
        <w:t>202/025</w:t>
      </w:r>
    </w:p>
    <w:p w14:paraId="19CA9E08" w14:textId="2818C7AA" w:rsidR="00EA58A9" w:rsidRPr="006E45B8" w:rsidRDefault="00BD1E8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18.Бечка декларација и програм деловања</w:t>
      </w:r>
    </w:p>
    <w:p w14:paraId="63EAC738" w14:textId="4F64C52D" w:rsidR="00D166E6" w:rsidRPr="006E45B8" w:rsidRDefault="00EA58A9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 </w:t>
      </w:r>
      <w:r w:rsidR="006E45B8">
        <w:rPr>
          <w:rFonts w:ascii="Arial" w:hAnsi="Arial" w:cs="Arial"/>
          <w:b/>
          <w:bCs/>
          <w:lang w:val="sr-Cyrl-RS"/>
        </w:rPr>
        <w:t>П</w:t>
      </w:r>
      <w:r w:rsidRPr="006E45B8">
        <w:rPr>
          <w:rFonts w:ascii="Arial" w:hAnsi="Arial" w:cs="Arial"/>
          <w:b/>
          <w:bCs/>
          <w:lang w:val="sr-Cyrl-RS"/>
        </w:rPr>
        <w:t>равних аката Србије:</w:t>
      </w:r>
    </w:p>
    <w:p w14:paraId="42C45E02" w14:textId="75F1171D" w:rsidR="009E301B" w:rsidRPr="006E45B8" w:rsidRDefault="009E301B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1.Устав Републике Србије</w:t>
      </w:r>
    </w:p>
    <w:p w14:paraId="3C5A0A98" w14:textId="2E39CD3C" w:rsidR="003D33EB" w:rsidRPr="006E45B8" w:rsidRDefault="009E301B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2</w:t>
      </w:r>
      <w:r w:rsidR="003D33EB" w:rsidRPr="006E45B8">
        <w:rPr>
          <w:rFonts w:ascii="Arial" w:hAnsi="Arial" w:cs="Arial"/>
          <w:lang w:val="sr-Cyrl-RS"/>
        </w:rPr>
        <w:t>.Закона о родној равноправности ( „Сл.гласник РС“ бр. 52/21 )</w:t>
      </w:r>
    </w:p>
    <w:p w14:paraId="133F9AB7" w14:textId="17525613" w:rsidR="00146465" w:rsidRPr="006E45B8" w:rsidRDefault="009E301B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3</w:t>
      </w:r>
      <w:r w:rsidR="00146465" w:rsidRPr="006E45B8">
        <w:rPr>
          <w:rFonts w:ascii="Arial" w:hAnsi="Arial" w:cs="Arial"/>
          <w:lang w:val="sr-Cyrl-RS"/>
        </w:rPr>
        <w:t>.Закон о изменама и допунама Кривичног законика ( „Сл.гласник РС“ бр. 35/19 )</w:t>
      </w:r>
    </w:p>
    <w:p w14:paraId="5A99A244" w14:textId="04C61938" w:rsidR="00146465" w:rsidRPr="006E45B8" w:rsidRDefault="009E301B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4</w:t>
      </w:r>
      <w:r w:rsidR="00146465" w:rsidRPr="006E45B8">
        <w:rPr>
          <w:rFonts w:ascii="Arial" w:hAnsi="Arial" w:cs="Arial"/>
          <w:lang w:val="sr-Cyrl-RS"/>
        </w:rPr>
        <w:t>.Закон о изменама и допунама Закона о забрани дискриминације ( „Сл.гласник РС“ бр. 22/09 )</w:t>
      </w:r>
    </w:p>
    <w:p w14:paraId="2111337F" w14:textId="3C326F75" w:rsidR="00146465" w:rsidRPr="006E45B8" w:rsidRDefault="009E301B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5</w:t>
      </w:r>
      <w:r w:rsidR="00146465" w:rsidRPr="006E45B8">
        <w:rPr>
          <w:rFonts w:ascii="Arial" w:hAnsi="Arial" w:cs="Arial"/>
          <w:lang w:val="sr-Cyrl-RS"/>
        </w:rPr>
        <w:t>.Закон о забрани дискриминације ( „Сл. гласник РС“ бр.22/09,52/21 )</w:t>
      </w:r>
    </w:p>
    <w:p w14:paraId="029DC80D" w14:textId="3D10B7C9" w:rsidR="00146465" w:rsidRPr="006E45B8" w:rsidRDefault="009E301B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6</w:t>
      </w:r>
      <w:r w:rsidR="00146465" w:rsidRPr="006E45B8">
        <w:rPr>
          <w:rFonts w:ascii="Arial" w:hAnsi="Arial" w:cs="Arial"/>
          <w:lang w:val="sr-Cyrl-RS"/>
        </w:rPr>
        <w:t>. Закон о равноправности полова ( „Сл.гласник РС“ бр. 104/09 )</w:t>
      </w:r>
    </w:p>
    <w:p w14:paraId="6911515D" w14:textId="4D53EF86" w:rsidR="0049195B" w:rsidRPr="006E45B8" w:rsidRDefault="009E301B" w:rsidP="006E45B8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7.Закон о спречавању насиља у породици ( „СЛ.гласник РС“ бр.94/16 )</w:t>
      </w:r>
    </w:p>
    <w:p w14:paraId="66D67748" w14:textId="03D995C9" w:rsidR="009E301B" w:rsidRDefault="00E40DF2" w:rsidP="006E45B8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На основу Закона о родној равноправности ( „СЛ.гласник РС“ бр.52/21 ), у складу са законском обавезом која проистиче из члана 43. овог закона</w:t>
      </w:r>
      <w:r w:rsidR="009E301B" w:rsidRPr="006E45B8">
        <w:rPr>
          <w:rFonts w:ascii="Arial" w:hAnsi="Arial" w:cs="Arial"/>
          <w:lang w:val="sr-Cyrl-RS"/>
        </w:rPr>
        <w:t xml:space="preserve"> Народно позориште – </w:t>
      </w:r>
      <w:r w:rsidR="009E301B" w:rsidRPr="006E45B8">
        <w:rPr>
          <w:rFonts w:ascii="Arial" w:hAnsi="Arial" w:cs="Arial"/>
          <w:lang w:val="sr-Latn-RS"/>
        </w:rPr>
        <w:t xml:space="preserve">Narodno kazalište – </w:t>
      </w:r>
      <w:r w:rsidR="009E301B" w:rsidRPr="006E45B8">
        <w:rPr>
          <w:rFonts w:ascii="Arial" w:hAnsi="Arial" w:cs="Arial"/>
          <w:lang w:val="hu-HU"/>
        </w:rPr>
        <w:t>Népszínház</w:t>
      </w:r>
      <w:r w:rsidR="009E301B" w:rsidRPr="006E45B8">
        <w:rPr>
          <w:rFonts w:ascii="Arial" w:hAnsi="Arial" w:cs="Arial"/>
          <w:lang w:val="sr-Cyrl-RS"/>
        </w:rPr>
        <w:t xml:space="preserve"> Суботица ( у даљем тексту: Позориште ) је израдила План управљања ризицима од повреде принципа родне равноправности ( у даљем тексту: План управљања ризицима )</w:t>
      </w:r>
    </w:p>
    <w:p w14:paraId="59B09262" w14:textId="02FA499B" w:rsidR="006E45B8" w:rsidRPr="006E45B8" w:rsidRDefault="006E45B8" w:rsidP="006E45B8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1.ОПШТИ ДЕО</w:t>
      </w:r>
    </w:p>
    <w:p w14:paraId="55927BF0" w14:textId="0D2C9EED" w:rsidR="00586562" w:rsidRPr="006E45B8" w:rsidRDefault="00D42ED0" w:rsidP="00586562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lang w:val="sr-Cyrl-RS"/>
        </w:rPr>
      </w:pPr>
      <w:r w:rsidRPr="006E45B8">
        <w:rPr>
          <w:rFonts w:ascii="Arial" w:hAnsi="Arial" w:cs="Arial"/>
          <w:b/>
          <w:bCs/>
          <w:lang w:val="sr-Cyrl-RS"/>
        </w:rPr>
        <w:t>Назив, подаци о седишту и одговорном лицу и лицу за координацију током израде плана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6562" w:rsidRPr="006E45B8" w14:paraId="37C10C61" w14:textId="77777777" w:rsidTr="00586562">
        <w:tc>
          <w:tcPr>
            <w:tcW w:w="4788" w:type="dxa"/>
          </w:tcPr>
          <w:p w14:paraId="7F5217CE" w14:textId="57F06069" w:rsidR="00586562" w:rsidRPr="006E45B8" w:rsidRDefault="005865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НАЗИВ  УСТАНОВЕ</w:t>
            </w:r>
            <w:r w:rsidRPr="006E45B8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4788" w:type="dxa"/>
          </w:tcPr>
          <w:p w14:paraId="0B6834DF" w14:textId="3F0D795A" w:rsidR="00586562" w:rsidRPr="006E45B8" w:rsidRDefault="005865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>НАРОДНО ПОЗОРИШТЕ-</w:t>
            </w:r>
            <w:r w:rsidRPr="006E45B8">
              <w:rPr>
                <w:rFonts w:ascii="Arial" w:hAnsi="Arial" w:cs="Arial"/>
              </w:rPr>
              <w:t>NARODNO KAZALIŠTE-NÉPSZÍNHÁZ</w:t>
            </w:r>
          </w:p>
        </w:tc>
      </w:tr>
      <w:tr w:rsidR="00586562" w:rsidRPr="006E45B8" w14:paraId="53444ACE" w14:textId="77777777" w:rsidTr="00586562">
        <w:tc>
          <w:tcPr>
            <w:tcW w:w="4788" w:type="dxa"/>
          </w:tcPr>
          <w:p w14:paraId="0404B604" w14:textId="715409A6" w:rsidR="00586562" w:rsidRPr="006E45B8" w:rsidRDefault="005865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Седиште</w:t>
            </w:r>
            <w:r w:rsidRPr="006E45B8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4788" w:type="dxa"/>
          </w:tcPr>
          <w:p w14:paraId="3306DEB3" w14:textId="77777777" w:rsidR="00586562" w:rsidRPr="006E45B8" w:rsidRDefault="00586562" w:rsidP="00586562">
            <w:pPr>
              <w:rPr>
                <w:rFonts w:ascii="Arial" w:hAnsi="Arial" w:cs="Arial"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 xml:space="preserve">Иве Војновића 2, </w:t>
            </w:r>
          </w:p>
          <w:p w14:paraId="43C76396" w14:textId="299A4F6C" w:rsidR="00586562" w:rsidRPr="006E45B8" w:rsidRDefault="005865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>24000 Суботица</w:t>
            </w:r>
          </w:p>
        </w:tc>
      </w:tr>
      <w:tr w:rsidR="00586562" w:rsidRPr="006E45B8" w14:paraId="4D55EAFE" w14:textId="77777777" w:rsidTr="00586562">
        <w:tc>
          <w:tcPr>
            <w:tcW w:w="4788" w:type="dxa"/>
          </w:tcPr>
          <w:p w14:paraId="7DF6AE74" w14:textId="2D83F68B" w:rsidR="00586562" w:rsidRPr="006E45B8" w:rsidRDefault="005865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>Привремена адреса:</w:t>
            </w:r>
          </w:p>
        </w:tc>
        <w:tc>
          <w:tcPr>
            <w:tcW w:w="4788" w:type="dxa"/>
          </w:tcPr>
          <w:p w14:paraId="1FE5A646" w14:textId="77777777" w:rsidR="00586562" w:rsidRPr="006E45B8" w:rsidRDefault="00586562" w:rsidP="00586562">
            <w:pPr>
              <w:rPr>
                <w:rFonts w:ascii="Arial" w:hAnsi="Arial" w:cs="Arial"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 xml:space="preserve">Сенћански пут 71, </w:t>
            </w:r>
          </w:p>
          <w:p w14:paraId="7B8F8E60" w14:textId="48287C35" w:rsidR="00586562" w:rsidRPr="006E45B8" w:rsidRDefault="005865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>24000 Суботица</w:t>
            </w:r>
          </w:p>
        </w:tc>
      </w:tr>
      <w:tr w:rsidR="00586562" w:rsidRPr="006E45B8" w14:paraId="412A3CE9" w14:textId="77777777" w:rsidTr="00586562">
        <w:tc>
          <w:tcPr>
            <w:tcW w:w="4788" w:type="dxa"/>
          </w:tcPr>
          <w:p w14:paraId="7424DE53" w14:textId="72E5BDE0" w:rsidR="00586562" w:rsidRPr="006E45B8" w:rsidRDefault="005865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Матични број</w:t>
            </w:r>
            <w:r w:rsidRPr="006E45B8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4788" w:type="dxa"/>
          </w:tcPr>
          <w:p w14:paraId="14D2A8D3" w14:textId="77777777" w:rsidR="00586562" w:rsidRPr="006E45B8" w:rsidRDefault="00586562" w:rsidP="00586562">
            <w:pPr>
              <w:rPr>
                <w:rFonts w:ascii="Arial" w:hAnsi="Arial" w:cs="Arial"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>08009295</w:t>
            </w:r>
          </w:p>
          <w:p w14:paraId="4571FE01" w14:textId="61EA3066" w:rsidR="00BD2062" w:rsidRPr="006E45B8" w:rsidRDefault="00BD20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586562" w:rsidRPr="006E45B8" w14:paraId="56BE6179" w14:textId="77777777" w:rsidTr="00586562">
        <w:tc>
          <w:tcPr>
            <w:tcW w:w="4788" w:type="dxa"/>
          </w:tcPr>
          <w:p w14:paraId="0C6F9A9A" w14:textId="2532464E" w:rsidR="00586562" w:rsidRPr="006E45B8" w:rsidRDefault="005865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ПИБ</w:t>
            </w:r>
            <w:r w:rsidRPr="006E45B8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4788" w:type="dxa"/>
          </w:tcPr>
          <w:p w14:paraId="70A3576E" w14:textId="77777777" w:rsidR="00586562" w:rsidRPr="006E45B8" w:rsidRDefault="00586562" w:rsidP="00586562">
            <w:pPr>
              <w:rPr>
                <w:rFonts w:ascii="Arial" w:hAnsi="Arial" w:cs="Arial"/>
                <w:lang w:val="sr-Cyrl-RS"/>
              </w:rPr>
            </w:pPr>
            <w:r w:rsidRPr="006E45B8">
              <w:rPr>
                <w:rFonts w:ascii="Arial" w:hAnsi="Arial" w:cs="Arial"/>
                <w:lang w:val="sr-Cyrl-RS"/>
              </w:rPr>
              <w:t>100959817</w:t>
            </w:r>
          </w:p>
          <w:p w14:paraId="308AC543" w14:textId="2643FAA6" w:rsidR="00BD2062" w:rsidRPr="006E45B8" w:rsidRDefault="00BD20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586562" w:rsidRPr="006E45B8" w14:paraId="2CF5102C" w14:textId="77777777" w:rsidTr="00586562">
        <w:tc>
          <w:tcPr>
            <w:tcW w:w="4788" w:type="dxa"/>
          </w:tcPr>
          <w:p w14:paraId="60AE3965" w14:textId="3B1CF7A8" w:rsidR="00586562" w:rsidRPr="006E45B8" w:rsidRDefault="005865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Буџетски број:</w:t>
            </w:r>
          </w:p>
        </w:tc>
        <w:tc>
          <w:tcPr>
            <w:tcW w:w="4788" w:type="dxa"/>
          </w:tcPr>
          <w:p w14:paraId="455DFA51" w14:textId="77777777" w:rsidR="00586562" w:rsidRPr="006E45B8" w:rsidRDefault="005865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9057</w:t>
            </w:r>
          </w:p>
          <w:p w14:paraId="16DCBAC0" w14:textId="6155A924" w:rsidR="00BD2062" w:rsidRPr="006E45B8" w:rsidRDefault="00BD2062" w:rsidP="00586562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  <w:tr w:rsidR="00586562" w:rsidRPr="006E45B8" w14:paraId="7A36711D" w14:textId="77777777" w:rsidTr="00586562">
        <w:tc>
          <w:tcPr>
            <w:tcW w:w="4788" w:type="dxa"/>
          </w:tcPr>
          <w:p w14:paraId="507A3935" w14:textId="5A66577D" w:rsidR="00586562" w:rsidRPr="006E45B8" w:rsidRDefault="00BD20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И-мејл адреса:</w:t>
            </w:r>
          </w:p>
        </w:tc>
        <w:tc>
          <w:tcPr>
            <w:tcW w:w="4788" w:type="dxa"/>
          </w:tcPr>
          <w:p w14:paraId="7401A003" w14:textId="77777777" w:rsidR="00586562" w:rsidRPr="006E45B8" w:rsidRDefault="006A1B2C" w:rsidP="00BD2062">
            <w:pPr>
              <w:rPr>
                <w:rFonts w:ascii="Arial" w:hAnsi="Arial" w:cs="Arial"/>
                <w:b/>
                <w:lang w:val="sr-Cyrl-RS"/>
              </w:rPr>
            </w:pPr>
            <w:hyperlink r:id="rId5" w:history="1">
              <w:r w:rsidR="00BD2062" w:rsidRPr="006E45B8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npnkn@npnkn.org</w:t>
              </w:r>
            </w:hyperlink>
            <w:r w:rsidR="00BD2062" w:rsidRPr="006E45B8">
              <w:rPr>
                <w:rFonts w:ascii="Arial" w:hAnsi="Arial" w:cs="Arial"/>
                <w:b/>
              </w:rPr>
              <w:t xml:space="preserve"> </w:t>
            </w:r>
          </w:p>
          <w:p w14:paraId="7BF17C31" w14:textId="5D334BC4" w:rsidR="00BD2062" w:rsidRPr="006E45B8" w:rsidRDefault="00BD2062" w:rsidP="00BD2062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586562" w:rsidRPr="006E45B8" w14:paraId="4DEB7EC1" w14:textId="77777777" w:rsidTr="00586562">
        <w:tc>
          <w:tcPr>
            <w:tcW w:w="4788" w:type="dxa"/>
          </w:tcPr>
          <w:p w14:paraId="159E558E" w14:textId="13EE73D9" w:rsidR="00586562" w:rsidRPr="006E45B8" w:rsidRDefault="00BD2062" w:rsidP="00586562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lastRenderedPageBreak/>
              <w:t>сајт</w:t>
            </w:r>
          </w:p>
        </w:tc>
        <w:tc>
          <w:tcPr>
            <w:tcW w:w="4788" w:type="dxa"/>
          </w:tcPr>
          <w:p w14:paraId="7D64886D" w14:textId="77777777" w:rsidR="00586562" w:rsidRPr="006E45B8" w:rsidRDefault="006A1B2C" w:rsidP="00586562">
            <w:pPr>
              <w:rPr>
                <w:rStyle w:val="Hyperlink"/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hyperlink r:id="rId6" w:history="1">
              <w:r w:rsidR="00BD2062" w:rsidRPr="006E45B8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www.suteatar.org</w:t>
              </w:r>
            </w:hyperlink>
          </w:p>
          <w:p w14:paraId="7644F157" w14:textId="43FDA076" w:rsidR="00BD2062" w:rsidRPr="006E45B8" w:rsidRDefault="00BD2062" w:rsidP="00586562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</w:tbl>
    <w:p w14:paraId="62A9A0C3" w14:textId="77777777" w:rsidR="00586562" w:rsidRPr="006E45B8" w:rsidRDefault="00586562" w:rsidP="00586562">
      <w:pPr>
        <w:rPr>
          <w:rFonts w:ascii="Arial" w:hAnsi="Arial" w:cs="Arial"/>
          <w:b/>
          <w:bCs/>
          <w:lang w:val="sr-Cyrl-RS"/>
        </w:rPr>
      </w:pPr>
    </w:p>
    <w:p w14:paraId="4D56F9B0" w14:textId="77777777" w:rsidR="00EE1B74" w:rsidRPr="006E45B8" w:rsidRDefault="00EE1B74" w:rsidP="009E301B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795DED86" w14:textId="1CB5BC8E" w:rsidR="00EE1B74" w:rsidRPr="006E45B8" w:rsidRDefault="00EE1B74" w:rsidP="00EE1B74">
      <w:pPr>
        <w:jc w:val="both"/>
        <w:rPr>
          <w:rFonts w:ascii="Arial" w:hAnsi="Arial" w:cs="Arial"/>
          <w:b/>
          <w:bCs/>
          <w:lang w:val="sr-Cyrl-RS"/>
        </w:rPr>
      </w:pPr>
      <w:r w:rsidRPr="006E45B8">
        <w:rPr>
          <w:rFonts w:ascii="Arial" w:hAnsi="Arial" w:cs="Arial"/>
          <w:b/>
          <w:bCs/>
          <w:lang w:val="sr-Cyrl-RS"/>
        </w:rPr>
        <w:t>1.2. Родно осетљива статистика</w:t>
      </w:r>
    </w:p>
    <w:p w14:paraId="030F6629" w14:textId="77777777" w:rsidR="00EE1B74" w:rsidRPr="006E45B8" w:rsidRDefault="00EE1B74" w:rsidP="00EE1B74">
      <w:pPr>
        <w:jc w:val="both"/>
        <w:rPr>
          <w:rFonts w:ascii="Arial" w:hAnsi="Arial" w:cs="Arial"/>
          <w:b/>
          <w:bCs/>
          <w:lang w:val="sr-Cyrl-RS"/>
        </w:rPr>
      </w:pPr>
    </w:p>
    <w:p w14:paraId="236E2AE3" w14:textId="77777777" w:rsidR="00EE1B74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Да би се добро разумеле потребе за остваривањем родне равноправности неопходна је</w:t>
      </w:r>
    </w:p>
    <w:p w14:paraId="6ECC92CB" w14:textId="719423AE" w:rsidR="00EE1B74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постојање родно осетљиве статистике, родно разврстаних података и родних индикатора. То су кључни алати за формулисање, примену, надзирање, евалуацију и ревизију циљева на свим нивоима друштвеног деловања.</w:t>
      </w:r>
    </w:p>
    <w:p w14:paraId="5C50CA57" w14:textId="6C6CA015" w:rsidR="00EE1B74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мушкарце.</w:t>
      </w:r>
    </w:p>
    <w:p w14:paraId="25C46A2D" w14:textId="051D9A4E" w:rsidR="00EE1B74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Поред тога, она обезбеђује веродостојне податке о стварним ефектима политика и програма на животе жена и мушкараца.</w:t>
      </w:r>
    </w:p>
    <w:p w14:paraId="79645119" w14:textId="6D0AA35C" w:rsidR="00EE1B74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Редовно и свеобухватно праћење и приказивање родно осетљивих података омогућавају сагледавање стања у друштву (организацији) у погледу родно засноване дискриминације, као и креирање,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појединки.</w:t>
      </w:r>
    </w:p>
    <w:p w14:paraId="3AB32E42" w14:textId="0238CDF2" w:rsidR="00EE1B74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У Републици Србији је у претходном периоду значајно унапређено прикупљање података и разврставање по полу, али и даље постоји много простора за унапређење.</w:t>
      </w:r>
    </w:p>
    <w:p w14:paraId="50A259A4" w14:textId="60DDA55F" w:rsidR="00E430AC" w:rsidRPr="006E45B8" w:rsidRDefault="00EE1B74" w:rsidP="00EE1B74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Између осталог, Србија је била прва држава ван Европске уније која је 2016. године увела Индекс родне равноправности.</w:t>
      </w:r>
    </w:p>
    <w:p w14:paraId="0AC66A4A" w14:textId="77777777" w:rsidR="009E301B" w:rsidRPr="006E45B8" w:rsidRDefault="009E301B" w:rsidP="009E301B">
      <w:pPr>
        <w:rPr>
          <w:rFonts w:ascii="Arial" w:hAnsi="Arial" w:cs="Arial"/>
          <w:lang w:val="sr-Cyrl-RS"/>
        </w:rPr>
      </w:pPr>
    </w:p>
    <w:p w14:paraId="4C3242D8" w14:textId="04DA0FB8" w:rsidR="00B674F9" w:rsidRPr="006E45B8" w:rsidRDefault="00EE1B74">
      <w:pPr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b/>
          <w:bCs/>
          <w:lang w:val="sr-Cyrl-RS"/>
        </w:rPr>
        <w:t>2.</w:t>
      </w:r>
      <w:r w:rsidR="007B3189" w:rsidRPr="006E45B8">
        <w:rPr>
          <w:rFonts w:ascii="Arial" w:hAnsi="Arial" w:cs="Arial"/>
          <w:b/>
          <w:bCs/>
          <w:lang w:val="sr-Cyrl-RS"/>
        </w:rPr>
        <w:t xml:space="preserve"> </w:t>
      </w:r>
      <w:r w:rsidR="00D42ED0" w:rsidRPr="006E45B8">
        <w:rPr>
          <w:rFonts w:ascii="Arial" w:hAnsi="Arial" w:cs="Arial"/>
          <w:b/>
          <w:bCs/>
          <w:lang w:val="sr-Cyrl-RS"/>
        </w:rPr>
        <w:t>О</w:t>
      </w:r>
      <w:r w:rsidR="007B3189" w:rsidRPr="006E45B8">
        <w:rPr>
          <w:rFonts w:ascii="Arial" w:hAnsi="Arial" w:cs="Arial"/>
          <w:b/>
          <w:bCs/>
          <w:lang w:val="sr-Cyrl-RS"/>
        </w:rPr>
        <w:t>бласти и радних процеса који с</w:t>
      </w:r>
      <w:r w:rsidR="00D42ED0" w:rsidRPr="006E45B8">
        <w:rPr>
          <w:rFonts w:ascii="Arial" w:hAnsi="Arial" w:cs="Arial"/>
          <w:b/>
          <w:bCs/>
          <w:lang w:val="sr-Cyrl-RS"/>
        </w:rPr>
        <w:t>у ризични за повреду принципа родне равноправности</w:t>
      </w:r>
    </w:p>
    <w:p w14:paraId="5A947A8E" w14:textId="07407568" w:rsidR="007B3189" w:rsidRPr="006E45B8" w:rsidRDefault="00D42ED0" w:rsidP="007B3189">
      <w:pPr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>Области и процеси представљају израз самопроцене у</w:t>
      </w:r>
      <w:r w:rsidR="006771E7" w:rsidRPr="006E45B8">
        <w:rPr>
          <w:rFonts w:ascii="Arial" w:hAnsi="Arial" w:cs="Arial"/>
          <w:lang w:val="sr-Cyrl-RS"/>
        </w:rPr>
        <w:t xml:space="preserve"> НАРОДНО</w:t>
      </w:r>
      <w:r w:rsidRPr="006E45B8">
        <w:rPr>
          <w:rFonts w:ascii="Arial" w:hAnsi="Arial" w:cs="Arial"/>
          <w:lang w:val="sr-Cyrl-RS"/>
        </w:rPr>
        <w:t>М</w:t>
      </w:r>
      <w:r w:rsidR="006771E7" w:rsidRPr="006E45B8">
        <w:rPr>
          <w:rFonts w:ascii="Arial" w:hAnsi="Arial" w:cs="Arial"/>
          <w:lang w:val="sr-Cyrl-RS"/>
        </w:rPr>
        <w:t xml:space="preserve"> ПОЗОРИШТ</w:t>
      </w:r>
      <w:r w:rsidRPr="006E45B8">
        <w:rPr>
          <w:rFonts w:ascii="Arial" w:hAnsi="Arial" w:cs="Arial"/>
          <w:lang w:val="sr-Cyrl-RS"/>
        </w:rPr>
        <w:t>У</w:t>
      </w:r>
      <w:r w:rsidR="006771E7" w:rsidRPr="006E45B8">
        <w:rPr>
          <w:rFonts w:ascii="Arial" w:hAnsi="Arial" w:cs="Arial"/>
          <w:lang w:val="sr-Cyrl-RS"/>
        </w:rPr>
        <w:t>-</w:t>
      </w:r>
      <w:r w:rsidR="006771E7" w:rsidRPr="006E45B8">
        <w:rPr>
          <w:rFonts w:ascii="Arial" w:hAnsi="Arial" w:cs="Arial"/>
        </w:rPr>
        <w:t>NARODNO</w:t>
      </w:r>
      <w:r w:rsidRPr="006E45B8">
        <w:rPr>
          <w:rFonts w:ascii="Arial" w:hAnsi="Arial" w:cs="Arial"/>
        </w:rPr>
        <w:t>M</w:t>
      </w:r>
      <w:r w:rsidR="006771E7" w:rsidRPr="006E45B8">
        <w:rPr>
          <w:rFonts w:ascii="Arial" w:hAnsi="Arial" w:cs="Arial"/>
        </w:rPr>
        <w:t xml:space="preserve"> KAZALIŠT</w:t>
      </w:r>
      <w:r w:rsidRPr="006E45B8">
        <w:rPr>
          <w:rFonts w:ascii="Arial" w:hAnsi="Arial" w:cs="Arial"/>
        </w:rPr>
        <w:t>U</w:t>
      </w:r>
      <w:r w:rsidR="006771E7" w:rsidRPr="006E45B8">
        <w:rPr>
          <w:rFonts w:ascii="Arial" w:hAnsi="Arial" w:cs="Arial"/>
        </w:rPr>
        <w:t>-NÉPSZÍNHÁZ</w:t>
      </w:r>
      <w:r w:rsidR="006771E7" w:rsidRPr="006E45B8">
        <w:rPr>
          <w:rFonts w:ascii="Arial" w:hAnsi="Arial" w:cs="Arial"/>
          <w:lang w:val="sr-Cyrl-RS"/>
        </w:rPr>
        <w:t xml:space="preserve"> </w:t>
      </w:r>
      <w:r w:rsidR="007B3189" w:rsidRPr="006E45B8">
        <w:rPr>
          <w:rFonts w:ascii="Arial" w:hAnsi="Arial" w:cs="Arial"/>
          <w:lang w:val="sr-Cyrl-RS"/>
        </w:rPr>
        <w:t xml:space="preserve"> Суботица </w:t>
      </w:r>
      <w:r w:rsidR="006771E7" w:rsidRPr="006E45B8">
        <w:rPr>
          <w:rFonts w:ascii="Arial" w:hAnsi="Arial" w:cs="Arial"/>
          <w:lang w:val="sr-Cyrl-RS"/>
        </w:rPr>
        <w:t>( у даљем тексту: Позориште )</w:t>
      </w:r>
      <w:r w:rsidRPr="006E45B8">
        <w:rPr>
          <w:rFonts w:ascii="Arial" w:hAnsi="Arial" w:cs="Arial"/>
          <w:lang w:val="sr-Latn-RS"/>
        </w:rPr>
        <w:t xml:space="preserve"> </w:t>
      </w:r>
      <w:r w:rsidRPr="006E45B8">
        <w:rPr>
          <w:rFonts w:ascii="Arial" w:hAnsi="Arial" w:cs="Arial"/>
          <w:lang w:val="sr-Cyrl-RS"/>
        </w:rPr>
        <w:t>у вршењу основних  принципа</w:t>
      </w:r>
      <w:r w:rsidR="007B3189" w:rsidRPr="006E45B8">
        <w:rPr>
          <w:rFonts w:ascii="Arial" w:hAnsi="Arial" w:cs="Arial"/>
          <w:lang w:val="sr-Cyrl-RS"/>
        </w:rPr>
        <w:t xml:space="preserve"> </w:t>
      </w:r>
      <w:r w:rsidRPr="006E45B8">
        <w:rPr>
          <w:rFonts w:ascii="Arial" w:hAnsi="Arial" w:cs="Arial"/>
          <w:lang w:val="sr-Cyrl-RS"/>
        </w:rPr>
        <w:t>родне равноправности.</w:t>
      </w:r>
    </w:p>
    <w:p w14:paraId="0D2E918D" w14:textId="6FFE51F1" w:rsidR="007B3189" w:rsidRPr="006E45B8" w:rsidRDefault="006E45B8" w:rsidP="007B3189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 w:rsidR="007B3189" w:rsidRPr="006E45B8">
        <w:rPr>
          <w:rFonts w:ascii="Arial" w:hAnsi="Arial" w:cs="Arial"/>
          <w:lang w:val="sr-Cyrl-RS"/>
        </w:rPr>
        <w:t xml:space="preserve">       </w:t>
      </w:r>
      <w:r>
        <w:rPr>
          <w:rFonts w:ascii="Arial" w:hAnsi="Arial" w:cs="Arial"/>
          <w:lang w:val="sr-Cyrl-RS"/>
        </w:rPr>
        <w:t xml:space="preserve">     </w:t>
      </w:r>
      <w:r w:rsidR="007B3189" w:rsidRPr="006E45B8">
        <w:rPr>
          <w:rFonts w:ascii="Arial" w:hAnsi="Arial" w:cs="Arial"/>
          <w:lang w:val="sr-Cyrl-RS"/>
        </w:rPr>
        <w:t xml:space="preserve">           </w:t>
      </w:r>
    </w:p>
    <w:p w14:paraId="4E927A48" w14:textId="2F4C5CE6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   Органи управљања:</w:t>
      </w:r>
    </w:p>
    <w:p w14:paraId="3E1A6847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</w:p>
    <w:p w14:paraId="6469EE80" w14:textId="1EA913E9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  </w:t>
      </w:r>
      <w:r w:rsidRPr="006E45B8">
        <w:rPr>
          <w:rFonts w:ascii="Arial" w:hAnsi="Arial" w:cs="Arial"/>
          <w:b/>
          <w:lang w:val="sr-Cyrl-RS"/>
        </w:rPr>
        <w:t xml:space="preserve"> НАДЗОРНИ ОДБОР</w:t>
      </w:r>
      <w:r w:rsidRPr="006E45B8">
        <w:rPr>
          <w:rFonts w:ascii="Arial" w:hAnsi="Arial" w:cs="Arial"/>
          <w:lang w:val="sr-Cyrl-RS"/>
        </w:rPr>
        <w:t xml:space="preserve"> </w:t>
      </w:r>
      <w:r w:rsidR="00BD2062" w:rsidRPr="006E45B8">
        <w:rPr>
          <w:rFonts w:ascii="Arial" w:hAnsi="Arial" w:cs="Arial"/>
          <w:lang w:val="sr-Cyrl-RS"/>
        </w:rPr>
        <w:t xml:space="preserve">- </w:t>
      </w:r>
      <w:r w:rsidRPr="006E45B8">
        <w:rPr>
          <w:rFonts w:ascii="Arial" w:hAnsi="Arial" w:cs="Arial"/>
          <w:lang w:val="sr-Cyrl-RS"/>
        </w:rPr>
        <w:t>има 3 члана</w:t>
      </w:r>
    </w:p>
    <w:p w14:paraId="58639805" w14:textId="0E58D9C6" w:rsidR="007B3189" w:rsidRPr="006E45B8" w:rsidRDefault="006E45B8" w:rsidP="007B3189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  </w:t>
      </w:r>
      <w:r w:rsidR="007B3189" w:rsidRPr="006E45B8">
        <w:rPr>
          <w:rFonts w:ascii="Arial" w:hAnsi="Arial" w:cs="Arial"/>
          <w:b/>
          <w:lang w:val="sr-Cyrl-RS"/>
        </w:rPr>
        <w:t>УПРАВНИ ОДБОР</w:t>
      </w:r>
      <w:r w:rsidR="007B3189" w:rsidRPr="006E45B8">
        <w:rPr>
          <w:rFonts w:ascii="Arial" w:hAnsi="Arial" w:cs="Arial"/>
          <w:lang w:val="sr-Cyrl-RS"/>
        </w:rPr>
        <w:t xml:space="preserve"> </w:t>
      </w:r>
      <w:r w:rsidR="00BD2062" w:rsidRPr="006E45B8">
        <w:rPr>
          <w:rFonts w:ascii="Arial" w:hAnsi="Arial" w:cs="Arial"/>
          <w:lang w:val="sr-Cyrl-RS"/>
        </w:rPr>
        <w:t>-</w:t>
      </w:r>
      <w:r w:rsidR="007B3189" w:rsidRPr="006E45B8">
        <w:rPr>
          <w:rFonts w:ascii="Arial" w:hAnsi="Arial" w:cs="Arial"/>
          <w:lang w:val="sr-Cyrl-RS"/>
        </w:rPr>
        <w:t>има 9 чланова</w:t>
      </w:r>
    </w:p>
    <w:p w14:paraId="3F85A900" w14:textId="77777777" w:rsidR="006E45B8" w:rsidRDefault="006E45B8" w:rsidP="007B3189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</w:t>
      </w:r>
      <w:r w:rsidR="007B3189" w:rsidRPr="006E45B8">
        <w:rPr>
          <w:rFonts w:ascii="Arial" w:hAnsi="Arial" w:cs="Arial"/>
          <w:b/>
          <w:lang w:val="sr-Cyrl-RS"/>
        </w:rPr>
        <w:t>ДИРЕКТОР УСТАНОВЕ</w:t>
      </w:r>
      <w:r w:rsidR="00BD2062" w:rsidRPr="006E45B8">
        <w:rPr>
          <w:rFonts w:ascii="Arial" w:hAnsi="Arial" w:cs="Arial"/>
          <w:lang w:val="sr-Cyrl-RS"/>
        </w:rPr>
        <w:t xml:space="preserve"> </w:t>
      </w:r>
    </w:p>
    <w:p w14:paraId="7F6E0E92" w14:textId="05B131E1" w:rsidR="007B3189" w:rsidRPr="006E45B8" w:rsidRDefault="00BD2062" w:rsidP="007B3189">
      <w:pPr>
        <w:jc w:val="both"/>
        <w:rPr>
          <w:rFonts w:ascii="Arial" w:hAnsi="Arial" w:cs="Arial"/>
          <w:lang w:val="sr-Latn-RS"/>
        </w:rPr>
      </w:pPr>
      <w:r w:rsidRPr="006E45B8">
        <w:rPr>
          <w:rFonts w:ascii="Arial" w:hAnsi="Arial" w:cs="Arial"/>
          <w:lang w:val="sr-Cyrl-RS"/>
        </w:rPr>
        <w:lastRenderedPageBreak/>
        <w:t>СЕКТОРИ у позоришту</w:t>
      </w:r>
    </w:p>
    <w:p w14:paraId="3C31E9E8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</w:p>
    <w:p w14:paraId="61E72E4A" w14:textId="6565D26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1.</w:t>
      </w:r>
      <w:r w:rsidRPr="006E45B8">
        <w:rPr>
          <w:rFonts w:ascii="Arial" w:hAnsi="Arial" w:cs="Arial"/>
          <w:b/>
          <w:lang w:val="sr-Cyrl-RS"/>
        </w:rPr>
        <w:t>УМЕТНИЧКИ СЕКТОР</w:t>
      </w:r>
      <w:r w:rsidRPr="006E45B8">
        <w:rPr>
          <w:rFonts w:ascii="Arial" w:hAnsi="Arial" w:cs="Arial"/>
          <w:lang w:val="sr-Cyrl-RS"/>
        </w:rPr>
        <w:t xml:space="preserve">                                           </w:t>
      </w:r>
    </w:p>
    <w:p w14:paraId="7CE7B1E2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Одељење на српском језику</w:t>
      </w:r>
    </w:p>
    <w:p w14:paraId="5FA0259C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Одељење на мађарском језику</w:t>
      </w:r>
    </w:p>
    <w:p w14:paraId="1DCFAAEA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2.</w:t>
      </w:r>
      <w:r w:rsidRPr="006E45B8">
        <w:rPr>
          <w:rFonts w:ascii="Arial" w:hAnsi="Arial" w:cs="Arial"/>
          <w:b/>
          <w:lang w:val="sr-Cyrl-RS"/>
        </w:rPr>
        <w:t>ТЕХНИЧКИ СЕКТОР</w:t>
      </w:r>
      <w:r w:rsidRPr="006E45B8">
        <w:rPr>
          <w:rFonts w:ascii="Arial" w:hAnsi="Arial" w:cs="Arial"/>
          <w:lang w:val="sr-Cyrl-RS"/>
        </w:rPr>
        <w:t xml:space="preserve">  </w:t>
      </w:r>
    </w:p>
    <w:p w14:paraId="42DC934C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Одељење сценске технике</w:t>
      </w:r>
    </w:p>
    <w:p w14:paraId="230B9E9B" w14:textId="77777777" w:rsidR="007B3189" w:rsidRPr="006E45B8" w:rsidRDefault="007B3189" w:rsidP="007B31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E45B8">
        <w:rPr>
          <w:rFonts w:ascii="Arial" w:hAnsi="Arial" w:cs="Arial"/>
          <w:lang w:val="sr-Cyrl-RS"/>
        </w:rPr>
        <w:t xml:space="preserve">Столарска радионица </w:t>
      </w:r>
    </w:p>
    <w:p w14:paraId="0FD06B8A" w14:textId="77777777" w:rsidR="007B3189" w:rsidRPr="006E45B8" w:rsidRDefault="007B3189" w:rsidP="007B31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E45B8">
        <w:rPr>
          <w:rFonts w:ascii="Arial" w:hAnsi="Arial" w:cs="Arial"/>
          <w:lang w:val="sr-Cyrl-RS"/>
        </w:rPr>
        <w:t xml:space="preserve">Браварска радионица </w:t>
      </w:r>
    </w:p>
    <w:p w14:paraId="49BA4EB2" w14:textId="77777777" w:rsidR="007B3189" w:rsidRPr="006E45B8" w:rsidRDefault="007B3189" w:rsidP="007B31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E45B8">
        <w:rPr>
          <w:rFonts w:ascii="Arial" w:hAnsi="Arial" w:cs="Arial"/>
          <w:lang w:val="sr-Cyrl-RS"/>
        </w:rPr>
        <w:t xml:space="preserve">Кројачка радионица </w:t>
      </w:r>
    </w:p>
    <w:p w14:paraId="0B69DA09" w14:textId="77777777" w:rsidR="007B3189" w:rsidRPr="006E45B8" w:rsidRDefault="007B3189" w:rsidP="007B318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E45B8">
        <w:rPr>
          <w:rFonts w:ascii="Arial" w:hAnsi="Arial" w:cs="Arial"/>
          <w:lang w:val="sr-Cyrl-RS"/>
        </w:rPr>
        <w:t xml:space="preserve">Сликарска радионица </w:t>
      </w:r>
    </w:p>
    <w:p w14:paraId="76DE36CD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</w:p>
    <w:p w14:paraId="45E944C4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Одељење сценске опреме  </w:t>
      </w:r>
    </w:p>
    <w:p w14:paraId="20FFFB6E" w14:textId="77777777" w:rsidR="007B3189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E45B8">
        <w:rPr>
          <w:rFonts w:ascii="Arial" w:hAnsi="Arial" w:cs="Arial"/>
          <w:lang w:val="sr-Cyrl-RS"/>
        </w:rPr>
        <w:t xml:space="preserve">Служба гардеробе </w:t>
      </w:r>
    </w:p>
    <w:p w14:paraId="175D77D7" w14:textId="77777777" w:rsidR="007B3189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Служба реквизите </w:t>
      </w:r>
    </w:p>
    <w:p w14:paraId="77CB3484" w14:textId="77777777" w:rsidR="007B3189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Фризерско-шминкерска служба </w:t>
      </w:r>
    </w:p>
    <w:p w14:paraId="49AA9BBF" w14:textId="77777777" w:rsidR="007B3189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Служба расвете </w:t>
      </w:r>
    </w:p>
    <w:p w14:paraId="3125C887" w14:textId="77777777" w:rsidR="007B3189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Служба тона </w:t>
      </w:r>
    </w:p>
    <w:p w14:paraId="118AAA3A" w14:textId="77777777" w:rsidR="007B3189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Транспортна служба </w:t>
      </w:r>
    </w:p>
    <w:p w14:paraId="73F10008" w14:textId="77777777" w:rsidR="006E45B8" w:rsidRPr="006E45B8" w:rsidRDefault="007B3189" w:rsidP="007B318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Служба за одржавање чистоће </w:t>
      </w:r>
    </w:p>
    <w:p w14:paraId="0F65F654" w14:textId="7F9B1968" w:rsidR="007B3189" w:rsidRPr="006E45B8" w:rsidRDefault="007B3189" w:rsidP="006E45B8">
      <w:pPr>
        <w:spacing w:after="0" w:line="240" w:lineRule="auto"/>
        <w:ind w:left="1800"/>
        <w:jc w:val="both"/>
        <w:rPr>
          <w:rFonts w:ascii="Arial" w:hAnsi="Arial" w:cs="Arial"/>
          <w:lang w:val="hu-HU"/>
        </w:rPr>
      </w:pPr>
      <w:r w:rsidRPr="006E45B8">
        <w:rPr>
          <w:rFonts w:ascii="Arial" w:hAnsi="Arial" w:cs="Arial"/>
          <w:lang w:val="sr-Cyrl-RS"/>
        </w:rPr>
        <w:t xml:space="preserve"> </w:t>
      </w:r>
    </w:p>
    <w:p w14:paraId="55A7B687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3.</w:t>
      </w:r>
      <w:r w:rsidRPr="006E45B8">
        <w:rPr>
          <w:rFonts w:ascii="Arial" w:hAnsi="Arial" w:cs="Arial"/>
          <w:b/>
          <w:lang w:val="sr-Cyrl-RS"/>
        </w:rPr>
        <w:t>ОПШТИ СЕКТОР</w:t>
      </w:r>
    </w:p>
    <w:p w14:paraId="1E1233DC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Служба секретаријата</w:t>
      </w:r>
    </w:p>
    <w:p w14:paraId="3B5C3818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>Служба рачуноводства</w:t>
      </w:r>
    </w:p>
    <w:p w14:paraId="5BE0BAE5" w14:textId="77777777" w:rsidR="007B3189" w:rsidRPr="006E45B8" w:rsidRDefault="007B3189" w:rsidP="007B3189">
      <w:pPr>
        <w:jc w:val="both"/>
        <w:rPr>
          <w:rFonts w:ascii="Arial" w:hAnsi="Arial" w:cs="Arial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Служба маркетинга    </w:t>
      </w:r>
    </w:p>
    <w:p w14:paraId="4774D5CE" w14:textId="4B298B67" w:rsidR="007B3189" w:rsidRPr="006E45B8" w:rsidRDefault="007B3189" w:rsidP="007B3189">
      <w:pPr>
        <w:jc w:val="both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  <w:lang w:val="sr-Cyrl-RS"/>
        </w:rPr>
      </w:pPr>
      <w:r w:rsidRPr="006E45B8">
        <w:rPr>
          <w:rFonts w:ascii="Arial" w:hAnsi="Arial" w:cs="Arial"/>
          <w:lang w:val="sr-Cyrl-RS"/>
        </w:rPr>
        <w:t xml:space="preserve">Служба за обезбеђење    </w:t>
      </w:r>
    </w:p>
    <w:p w14:paraId="70C465B6" w14:textId="159C71A4" w:rsidR="00BC050B" w:rsidRPr="006E45B8" w:rsidRDefault="00BC050B" w:rsidP="007B3189">
      <w:pPr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Родно осетљива статистика у позоришту</w:t>
      </w:r>
    </w:p>
    <w:p w14:paraId="50C5552C" w14:textId="06CAD476" w:rsidR="00BC050B" w:rsidRPr="006E45B8" w:rsidRDefault="00BC050B" w:rsidP="007B3189">
      <w:pPr>
        <w:jc w:val="both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остваривање родне равноправности неопходно је постојање родно осетљиве статистике, родно разврставање података и родних индикатора.</w:t>
      </w:r>
    </w:p>
    <w:p w14:paraId="2E4575DB" w14:textId="5700B4A3" w:rsidR="00BC050B" w:rsidRPr="006E45B8" w:rsidRDefault="00BC050B" w:rsidP="007B3189">
      <w:pPr>
        <w:jc w:val="both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 су кључни алати за формулисање, примену, надзирање, евалуацију и ревизију циљева на свим нивоима деловања.</w:t>
      </w:r>
    </w:p>
    <w:p w14:paraId="511EB159" w14:textId="6F0F302E" w:rsidR="00BC050B" w:rsidRPr="006E45B8" w:rsidRDefault="00BC050B" w:rsidP="007B3189">
      <w:pPr>
        <w:jc w:val="both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Родно осетљива статистика обезбеђује податке за креирање и ревизију политике</w:t>
      </w:r>
      <w:r w:rsidR="00610CD7" w:rsidRPr="006E45B8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програма позоришта како не би производиле различите ефекте на жене и мушкарце. Обезбеђује веродостојне податке о стварним ефектима политика и програма на животе жена и мушкараца.</w:t>
      </w:r>
    </w:p>
    <w:p w14:paraId="34B83C6A" w14:textId="7591BB42" w:rsidR="00610CD7" w:rsidRPr="006E45B8" w:rsidRDefault="00610CD7" w:rsidP="007B3189">
      <w:pPr>
        <w:jc w:val="both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Родно и свеобухватно  праћење и приказивање родно осетљивих података омогућавају сагледавање стања у позоришту у погледу родно засноване дискриминације, као и креирање,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појединки.</w:t>
      </w:r>
    </w:p>
    <w:p w14:paraId="50FE484D" w14:textId="77777777" w:rsidR="006A1B2C" w:rsidRDefault="006A1B2C" w:rsidP="006A1B2C"/>
    <w:p w14:paraId="46289FE4" w14:textId="77777777" w:rsidR="006A1B2C" w:rsidRPr="006A1B2C" w:rsidRDefault="006A1B2C" w:rsidP="006A1B2C">
      <w:pPr>
        <w:rPr>
          <w:b/>
          <w:lang w:val="sr-Cyrl-RS"/>
        </w:rPr>
      </w:pPr>
      <w:r w:rsidRPr="006A1B2C">
        <w:rPr>
          <w:b/>
          <w:lang w:val="sr-Cyrl-RS"/>
        </w:rPr>
        <w:t>ТАБЕЛА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  <w:gridCol w:w="1559"/>
        <w:gridCol w:w="1559"/>
      </w:tblGrid>
      <w:tr w:rsidR="006A1B2C" w14:paraId="3AF828B9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994" w14:textId="77777777" w:rsidR="006A1B2C" w:rsidRDefault="006A1B2C">
            <w:pPr>
              <w:rPr>
                <w:lang w:val="sr-Cyrl-RS"/>
              </w:rPr>
            </w:pPr>
          </w:p>
          <w:p w14:paraId="2CC9BDE3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ЗАПОСЛЕНИ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D01" w14:textId="77777777" w:rsidR="006A1B2C" w:rsidRDefault="006A1B2C"/>
          <w:p w14:paraId="0A109A6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ЖЕНСКИ(%)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F7E" w14:textId="77777777" w:rsidR="006A1B2C" w:rsidRDefault="006A1B2C"/>
          <w:p w14:paraId="342AD8F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МУШКИ(%)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DCDC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1012C40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A1B2C" w14:paraId="1D5A502C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0AA" w14:textId="77777777" w:rsidR="006A1B2C" w:rsidRDefault="006A1B2C">
            <w:pPr>
              <w:rPr>
                <w:lang w:val="sr-Cyrl-R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0355" w14:textId="77777777" w:rsidR="006A1B2C" w:rsidRDefault="006A1B2C">
            <w:r>
              <w:rPr>
                <w:lang w:val="sr-Cyrl-RS"/>
              </w:rPr>
              <w:t xml:space="preserve">  51</w:t>
            </w:r>
            <w:r>
              <w:t xml:space="preserve"> (52,6%)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B18" w14:textId="77777777" w:rsidR="006A1B2C" w:rsidRDefault="006A1B2C">
            <w:r>
              <w:rPr>
                <w:lang w:val="sr-Cyrl-RS"/>
              </w:rPr>
              <w:t xml:space="preserve">   45</w:t>
            </w:r>
            <w:r>
              <w:t xml:space="preserve"> (46,4%)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A20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97</w:t>
            </w:r>
          </w:p>
        </w:tc>
      </w:tr>
    </w:tbl>
    <w:p w14:paraId="2CC26919" w14:textId="77777777" w:rsidR="006A1B2C" w:rsidRDefault="006A1B2C" w:rsidP="006A1B2C"/>
    <w:p w14:paraId="3946B801" w14:textId="77777777" w:rsidR="006A1B2C" w:rsidRDefault="006A1B2C" w:rsidP="006A1B2C">
      <w:pPr>
        <w:rPr>
          <w:lang w:val="sr-Cyrl-RS"/>
        </w:rPr>
      </w:pPr>
      <w:r w:rsidRPr="006A1B2C">
        <w:rPr>
          <w:b/>
          <w:lang w:val="sr-Cyrl-RS"/>
        </w:rPr>
        <w:t>ТАБЕЛА 2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  <w:gridCol w:w="1559"/>
        <w:gridCol w:w="1559"/>
      </w:tblGrid>
      <w:tr w:rsidR="006A1B2C" w14:paraId="022C72E2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C29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ЗАПОСЛЕНИ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39C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9131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DA39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A1B2C" w14:paraId="1EA99974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81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ВИСОКА СТРУЧНА СПРЕМА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8D7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27(27,8%)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82D2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20 (20,6%)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8FB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</w:tr>
      <w:tr w:rsidR="006A1B2C" w14:paraId="265B8EE2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CA89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ВИША СТРУЧНА СПРЕМА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9F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5 (5,16%)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E5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5  (5,16%)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771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6A1B2C" w14:paraId="351C8DB8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478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СРЕДЊА СТРУЧНА СПРЕМА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359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14 (14,4%)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97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18 (18,6%)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17D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</w:tr>
      <w:tr w:rsidR="006A1B2C" w14:paraId="1DC68A36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F2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ОСНОВНА СТРУЧНА СПРЕМА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77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4 (4%)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D9C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EE8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5</w:t>
            </w:r>
          </w:p>
        </w:tc>
      </w:tr>
      <w:tr w:rsidR="006A1B2C" w14:paraId="782F0604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2E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НЕКВАЛИФИКОВАНИ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B94D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B03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3 (3%)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CF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3</w:t>
            </w:r>
          </w:p>
        </w:tc>
      </w:tr>
    </w:tbl>
    <w:p w14:paraId="3F06C0B0" w14:textId="77777777" w:rsidR="006A1B2C" w:rsidRDefault="006A1B2C" w:rsidP="006A1B2C"/>
    <w:p w14:paraId="011AF5E2" w14:textId="77777777" w:rsidR="006A1B2C" w:rsidRDefault="006A1B2C" w:rsidP="006A1B2C"/>
    <w:p w14:paraId="02579FB2" w14:textId="77777777" w:rsidR="006A1B2C" w:rsidRPr="006A1B2C" w:rsidRDefault="006A1B2C" w:rsidP="006A1B2C">
      <w:pPr>
        <w:rPr>
          <w:b/>
          <w:lang w:val="sr-Cyrl-RS"/>
        </w:rPr>
      </w:pPr>
      <w:r w:rsidRPr="006A1B2C">
        <w:rPr>
          <w:b/>
          <w:lang w:val="sr-Cyrl-RS"/>
        </w:rPr>
        <w:t>ТАБЕЛА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  <w:gridCol w:w="1559"/>
        <w:gridCol w:w="1559"/>
      </w:tblGrid>
      <w:tr w:rsidR="006A1B2C" w14:paraId="2BD0AE0C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12CE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ЗАПОСЛЕНИ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557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B13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4E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A1B2C" w14:paraId="32CB3F83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AD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21-30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8033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4 (4%)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16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5 (5,2%)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14C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9  </w:t>
            </w:r>
          </w:p>
        </w:tc>
      </w:tr>
      <w:tr w:rsidR="006A1B2C" w14:paraId="31142D21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4255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31-40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422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12 (12,4%)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CA3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10 (10,3%)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87B5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</w:tr>
      <w:tr w:rsidR="006A1B2C" w14:paraId="143C0DE4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26EC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41-50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712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16 (16,4%)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06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15 (15,5%)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192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</w:tr>
      <w:tr w:rsidR="006A1B2C" w14:paraId="4E17E759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AF0E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51-60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9403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17 (17,5%)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0E75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10 (10,3%)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7067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6A1B2C" w14:paraId="59FDB877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99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 61- 70 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1FD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 (2,1%)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96E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5 (5,2%)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A6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6A1B2C" w14:paraId="28987E55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9AC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МЛАЂИ ОД 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D33" w14:textId="77777777" w:rsidR="006A1B2C" w:rsidRDefault="006A1B2C">
            <w:pPr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AD5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342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14:paraId="7D334556" w14:textId="77777777" w:rsidR="006A1B2C" w:rsidRDefault="006A1B2C" w:rsidP="006A1B2C"/>
    <w:p w14:paraId="32F7F8DE" w14:textId="77777777" w:rsidR="006A1B2C" w:rsidRPr="006A1B2C" w:rsidRDefault="006A1B2C" w:rsidP="006A1B2C">
      <w:pPr>
        <w:rPr>
          <w:b/>
          <w:lang w:val="sr-Cyrl-RS"/>
        </w:rPr>
      </w:pPr>
      <w:r w:rsidRPr="006A1B2C">
        <w:rPr>
          <w:b/>
          <w:lang w:val="sr-Cyrl-RS"/>
        </w:rPr>
        <w:t>ТАБЕЛА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  <w:gridCol w:w="1559"/>
        <w:gridCol w:w="1559"/>
      </w:tblGrid>
      <w:tr w:rsidR="006A1B2C" w14:paraId="554BC87D" w14:textId="77777777" w:rsidTr="006A1B2C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239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УПРАВНИ ОДБОР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CBA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1B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C0C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A1B2C" w14:paraId="6D363CD0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07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21-30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C5C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AD6C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692" w14:textId="77777777" w:rsidR="006A1B2C" w:rsidRDefault="006A1B2C"/>
        </w:tc>
      </w:tr>
      <w:tr w:rsidR="006A1B2C" w14:paraId="7B0CE5A5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E63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31-40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A37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(11,1%)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F3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(11,1%)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CE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A1B2C" w14:paraId="0BBD913F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D497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41-50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332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 (22,2%)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BC9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2(22,2%)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4212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A1B2C" w14:paraId="66CCF689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D629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51-60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A62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(11,1%)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0E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(11,1%)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1E65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6A1B2C" w14:paraId="028034E1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CA8C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 61-70 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275" w14:textId="77777777" w:rsidR="006A1B2C" w:rsidRDefault="006A1B2C">
            <w:pPr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8E6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(11,1%)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975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6A1B2C" w14:paraId="11233F91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A8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CF2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4 (44,4%)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E68B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5 (55,6%)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2A9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</w:tbl>
    <w:p w14:paraId="104A6250" w14:textId="77777777" w:rsidR="006A1B2C" w:rsidRDefault="006A1B2C" w:rsidP="006A1B2C">
      <w:pPr>
        <w:rPr>
          <w:lang w:val="sr-Cyrl-RS"/>
        </w:rPr>
      </w:pPr>
    </w:p>
    <w:p w14:paraId="21E7E81D" w14:textId="77777777" w:rsidR="006A1B2C" w:rsidRDefault="006A1B2C" w:rsidP="006A1B2C">
      <w:pPr>
        <w:rPr>
          <w:lang w:val="sr-Cyrl-RS"/>
        </w:rPr>
      </w:pPr>
      <w:bookmarkStart w:id="0" w:name="_Hlk123148281"/>
    </w:p>
    <w:p w14:paraId="58C0738E" w14:textId="77777777" w:rsidR="006A1B2C" w:rsidRPr="006A1B2C" w:rsidRDefault="006A1B2C" w:rsidP="006A1B2C">
      <w:pPr>
        <w:rPr>
          <w:b/>
          <w:lang w:val="sr-Cyrl-RS"/>
        </w:rPr>
      </w:pPr>
      <w:r w:rsidRPr="006A1B2C">
        <w:rPr>
          <w:b/>
          <w:lang w:val="sr-Cyrl-RS"/>
        </w:rPr>
        <w:lastRenderedPageBreak/>
        <w:t>ТАБЕЛА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  <w:gridCol w:w="1559"/>
        <w:gridCol w:w="1559"/>
      </w:tblGrid>
      <w:tr w:rsidR="006A1B2C" w14:paraId="3251F765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F25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НАДЗОРНИ ОДБОР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DE33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1D07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487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A1B2C" w14:paraId="517DF8A7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AD92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21-30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F47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B33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649" w14:textId="77777777" w:rsidR="006A1B2C" w:rsidRDefault="006A1B2C"/>
        </w:tc>
      </w:tr>
      <w:tr w:rsidR="006A1B2C" w14:paraId="15B52598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FB81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31-40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FB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092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2E4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</w:t>
            </w:r>
          </w:p>
        </w:tc>
      </w:tr>
      <w:tr w:rsidR="006A1B2C" w14:paraId="3F6ACF2B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19D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41-50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31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(33,3%)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B2FE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  (33,3%)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A618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2</w:t>
            </w:r>
          </w:p>
        </w:tc>
      </w:tr>
      <w:tr w:rsidR="006A1B2C" w14:paraId="4EB03426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866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>
              <w:t xml:space="preserve"> 51-60 </w:t>
            </w:r>
            <w:r>
              <w:rPr>
                <w:lang w:val="sr-Cyrl-RS"/>
              </w:rPr>
              <w:t>ГОДИНА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8D4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DEE" w14:textId="77777777" w:rsidR="006A1B2C" w:rsidRDefault="006A1B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966" w14:textId="77777777" w:rsidR="006A1B2C" w:rsidRDefault="006A1B2C"/>
        </w:tc>
      </w:tr>
      <w:tr w:rsidR="006A1B2C" w14:paraId="1E38CEB0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645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D22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2 (66,7%)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0EF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  (66,7%)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33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3</w:t>
            </w:r>
          </w:p>
        </w:tc>
      </w:tr>
      <w:bookmarkEnd w:id="0"/>
    </w:tbl>
    <w:p w14:paraId="045E05E4" w14:textId="77777777" w:rsidR="006A1B2C" w:rsidRDefault="006A1B2C" w:rsidP="006A1B2C"/>
    <w:p w14:paraId="2614A80A" w14:textId="77777777" w:rsidR="006A1B2C" w:rsidRDefault="006A1B2C" w:rsidP="006A1B2C"/>
    <w:p w14:paraId="017F418E" w14:textId="77777777" w:rsidR="006A1B2C" w:rsidRPr="006A1B2C" w:rsidRDefault="006A1B2C" w:rsidP="006A1B2C">
      <w:pPr>
        <w:rPr>
          <w:b/>
        </w:rPr>
      </w:pPr>
      <w:r w:rsidRPr="006A1B2C">
        <w:rPr>
          <w:b/>
          <w:lang w:val="sr-Cyrl-RS"/>
        </w:rPr>
        <w:t>ТАБЕЛА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7"/>
        <w:gridCol w:w="1559"/>
        <w:gridCol w:w="1559"/>
      </w:tblGrid>
      <w:tr w:rsidR="006A1B2C" w14:paraId="6A293622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A7BA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СПОЉНИ САРАДНИЦИ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3475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4016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6A7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A1B2C" w14:paraId="6CE754FF" w14:textId="77777777" w:rsidTr="006A1B2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A253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ПРОДУКЦИЈА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A2D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7 (38,9%)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9E4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11 (61,1%)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5A0" w14:textId="77777777" w:rsidR="006A1B2C" w:rsidRDefault="006A1B2C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</w:tbl>
    <w:p w14:paraId="01B4ADCE" w14:textId="77777777" w:rsidR="006A1B2C" w:rsidRDefault="006A1B2C" w:rsidP="006A1B2C">
      <w:pPr>
        <w:rPr>
          <w:lang w:val="sr-Cyrl-RS"/>
        </w:rPr>
      </w:pPr>
    </w:p>
    <w:p w14:paraId="72C9C1DE" w14:textId="339A5577" w:rsidR="00610CD7" w:rsidRPr="006E45B8" w:rsidRDefault="00610CD7" w:rsidP="00BD2062">
      <w:pPr>
        <w:jc w:val="both"/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E14033" w14:textId="3268C722" w:rsidR="00C13C81" w:rsidRPr="006E45B8" w:rsidRDefault="00C13C81" w:rsidP="00C13C81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AC3EB0" w14:textId="09D12058" w:rsidR="00C13C81" w:rsidRPr="006E45B8" w:rsidRDefault="00C13C81" w:rsidP="00C13C81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Мере које су предвиђене овим Планом управљања ризицима су са циљем унапређења до потпуне примене принципа родне равноправности.</w:t>
      </w:r>
    </w:p>
    <w:p w14:paraId="36D283F8" w14:textId="451D9D2E" w:rsidR="00C13C81" w:rsidRPr="006E45B8" w:rsidRDefault="00C13C81" w:rsidP="00C13C81">
      <w:pPr>
        <w:jc w:val="both"/>
        <w:rPr>
          <w:rStyle w:val="Hyperlink"/>
          <w:rFonts w:ascii="Arial" w:hAnsi="Arial" w:cs="Arial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3D09E" w14:textId="3D4DA829" w:rsidR="00C13C81" w:rsidRPr="006E45B8" w:rsidRDefault="00110477" w:rsidP="00110477">
      <w:pPr>
        <w:jc w:val="both"/>
        <w:rPr>
          <w:rStyle w:val="Hyperlink"/>
          <w:rFonts w:ascii="Arial" w:hAnsi="Arial" w:cs="Arial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C13C81" w:rsidRPr="006E45B8">
        <w:rPr>
          <w:rStyle w:val="Hyperlink"/>
          <w:rFonts w:ascii="Arial" w:hAnsi="Arial" w:cs="Arial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МЕРЕ ЗА ОСТВАРИВАЊЕ И УНАПРЕЂЕЊЕ РОДНЕ РАВНОПРАВНОСТИ</w:t>
      </w:r>
    </w:p>
    <w:p w14:paraId="787D6623" w14:textId="1381B7ED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 разврстава мере за остваривање и унапређење родне равноправности на опште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мере и посебне мере.</w:t>
      </w:r>
    </w:p>
    <w:p w14:paraId="6FB91A40" w14:textId="43B5CCB3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Опште мере се доносе након друштвеног дијалога и широког друштвеног консензуса,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 се посебне мере доносе појединачно на нивоу организације.</w:t>
      </w:r>
    </w:p>
    <w:p w14:paraId="2B310F2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EEF1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3.1. Опште мере</w:t>
      </w:r>
    </w:p>
    <w:p w14:paraId="4287B0A8" w14:textId="10CBB8F6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Опште мере за остваривање и унапређивање родне равноправности јесу законом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прописане мере којима се у одређеној области забрањује дискриминација на основу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пола, односно рода, или налаже одговарајуће поступање ради остваривања родне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равноправности.</w:t>
      </w:r>
    </w:p>
    <w:p w14:paraId="570DD2AA" w14:textId="385C80FE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Опште мере обухватају и мере утврђене другим актима (декларације, резолуције,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стратегије и сл.), чији је циљ остваривање родне равноправности.</w:t>
      </w:r>
    </w:p>
    <w:p w14:paraId="4857AA2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BE195" w14:textId="77777777" w:rsidR="006A1B2C" w:rsidRDefault="006A1B2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28B286" w14:textId="0B7C725C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3.2. Посебне мере</w:t>
      </w:r>
    </w:p>
    <w:p w14:paraId="7E8BB601" w14:textId="37906C2B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Посебне мере за остваривање и унапређивање родне равноправности су активности,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мере, критеријуми и праксе у складу са начелом једнаких могућности којима се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обезбеђује равноправно учешће и заступљеност жена и мушкараца, посебно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припадника осетљивих друштвених група, у свим сферама друштвеног живота и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једнаке могућности за остваривање права и слобода.</w:t>
      </w:r>
    </w:p>
    <w:p w14:paraId="2B9217F6" w14:textId="1FB1AA94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Посебне мере, у складу са општим мерама одређују и спроводе орган јавне власти,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послодавци и удружења.</w:t>
      </w:r>
    </w:p>
    <w:p w14:paraId="15623F6C" w14:textId="0B94E03F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Приликом одређивања посебних мера морају се уважавати различити интереси, потребе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приоритети жена и мушкараца, а посебним мерама мора се обезбедити:</w:t>
      </w:r>
    </w:p>
    <w:p w14:paraId="13DB31A5" w14:textId="2210968B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право жена, девојчица и мушкараца на информисаност и једнаку доступност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политикама, програмима и услугама;</w:t>
      </w:r>
    </w:p>
    <w:p w14:paraId="7DCB3C51" w14:textId="52984D00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примена уродњавања и родно одговорног буџетирања у поступку планирања,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управљања и спровођења планова, пројеката и политика;</w:t>
      </w:r>
    </w:p>
    <w:p w14:paraId="42E0BF07" w14:textId="2940384F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промовисање једнаких могућности у управљању људским ресурсима и на тржишту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рада;</w:t>
      </w:r>
    </w:p>
    <w:p w14:paraId="6FDC053C" w14:textId="3AA8F8A8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уравнотежена заступљеност полова у управним и надзорним телима и на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положајима;</w:t>
      </w:r>
    </w:p>
    <w:p w14:paraId="34ECBC36" w14:textId="067CDDEC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уравнотежена заступљеност полова у свакој фази формулисања и спровођења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политика родне равноправности;</w:t>
      </w:r>
    </w:p>
    <w:p w14:paraId="26A15DE0" w14:textId="092E59E7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употреба родно сензитивног језика како би се утицало на уклањање родних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стереотипа при остваривању права и обавеза жена и мушкараца;</w:t>
      </w:r>
    </w:p>
    <w:p w14:paraId="179B245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F6763D" w14:textId="6E2FB73F" w:rsidR="006B6E9F" w:rsidRPr="006E45B8" w:rsidRDefault="00110477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прикупљање релевантних података разврстаних по полу и њихово достављање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надлежним институцијама.</w:t>
      </w:r>
    </w:p>
    <w:p w14:paraId="6F22CDA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Посебне мере примењују се док се не постигне циљ због којег су прописане.</w:t>
      </w:r>
    </w:p>
    <w:p w14:paraId="2539B66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CE90BF" w14:textId="08B537FA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3.2.1. Мере које се одређују и случајевима осетно неуравнотежене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заступљености полова</w:t>
      </w:r>
    </w:p>
    <w:p w14:paraId="5E93A51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1FFE1D" w14:textId="1500E259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-проценити да ли орган има осетно неуравнотежену заступљеност полова у органима</w:t>
      </w:r>
      <w:r w:rsidR="00110477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одлучивања, као и организационој структури, и колико она износи у процентима</w:t>
      </w:r>
    </w:p>
    <w:p w14:paraId="01647801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C6D3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3.2.2. Подстицајне мере</w:t>
      </w:r>
    </w:p>
    <w:p w14:paraId="22D5DEC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Подстицајне мере представљају мере којима се дају посебне погодности или уводе</w:t>
      </w:r>
    </w:p>
    <w:p w14:paraId="01D10FF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посебни подстицаји у циљу унапређења положаја и обезбеђивања једнаких могућности</w:t>
      </w:r>
    </w:p>
    <w:p w14:paraId="4C5E0E5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жене и мушкарце у свим областима деловања.</w:t>
      </w:r>
    </w:p>
    <w:p w14:paraId="50493E12" w14:textId="417270A0" w:rsidR="006B6E9F" w:rsidRPr="006E45B8" w:rsidRDefault="005A2F51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Позориште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услед потреба за остваривање и</w:t>
      </w:r>
      <w:r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унапређење родне равноправности доноси следећу подстицајну меру:</w:t>
      </w:r>
    </w:p>
    <w:p w14:paraId="7F05E279" w14:textId="700A52B3" w:rsidR="006B6E9F" w:rsidRPr="006E45B8" w:rsidRDefault="00BD2062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2F51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5A2F51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5C74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Заступљеност полова  запослених је равномерна у позоришту</w:t>
      </w:r>
    </w:p>
    <w:p w14:paraId="1FCE38A4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CB492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26AB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Иако су органима управљања жене заступљене у одговарајућем проценту у односу на</w:t>
      </w:r>
    </w:p>
    <w:p w14:paraId="5184802A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укупан број, потребно је оснажити жене за активну партиципацију у поступцима</w:t>
      </w:r>
    </w:p>
    <w:p w14:paraId="6335A00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доношења одлука.</w:t>
      </w:r>
    </w:p>
    <w:p w14:paraId="1B480A8D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Такође, орган власти као подстицајну меру предлаже и омогућавање додатног</w:t>
      </w:r>
    </w:p>
    <w:p w14:paraId="35C981F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усавршавања за жене доносиоце одлука у органима управљања да би се тиме</w:t>
      </w:r>
    </w:p>
    <w:p w14:paraId="0E8AAF4E" w14:textId="0B7D30F1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квалитетније спровели м</w:t>
      </w:r>
      <w:r w:rsidR="00BD206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исија и визија позоришта.</w:t>
      </w:r>
    </w:p>
    <w:p w14:paraId="7973F20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Време за увођење мере:</w:t>
      </w:r>
    </w:p>
    <w:p w14:paraId="70186382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Период од 2022 – 2026. године.</w:t>
      </w:r>
    </w:p>
    <w:p w14:paraId="72AE6D5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54081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 спровођења и контроле спровођења мере:</w:t>
      </w:r>
    </w:p>
    <w:p w14:paraId="66A85A9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A963B8" w14:textId="7C98DA91" w:rsidR="006B6E9F" w:rsidRPr="006E45B8" w:rsidRDefault="00BD2062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Предлагати већи број жена у изборним поступцима</w:t>
      </w:r>
    </w:p>
    <w:p w14:paraId="74638180" w14:textId="49966EF3" w:rsidR="006B6E9F" w:rsidRPr="006E45B8" w:rsidRDefault="00BD2062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Одредити лица која ће пратити конктинуирану едукацију жена на теме доношења</w:t>
      </w:r>
    </w:p>
    <w:p w14:paraId="286C0EC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одлука</w:t>
      </w:r>
    </w:p>
    <w:p w14:paraId="547FA4C2" w14:textId="334A8F1E" w:rsidR="006B6E9F" w:rsidRPr="006E45B8" w:rsidRDefault="00BD2062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Омогућити што већем броју жена да приступе органима који доносе одлуке</w:t>
      </w:r>
    </w:p>
    <w:p w14:paraId="3FE096B8" w14:textId="023C6A86" w:rsidR="006B6E9F" w:rsidRPr="006E45B8" w:rsidRDefault="00BD2062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Активирање већег броја жена кроз предлагање већег броја жена у поступцима избора</w:t>
      </w:r>
    </w:p>
    <w:p w14:paraId="2602EE6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је континуиран процес којим се постиже потпуна равноправност у партиципацији и</w:t>
      </w:r>
    </w:p>
    <w:p w14:paraId="5981C6C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одлучивању</w:t>
      </w:r>
    </w:p>
    <w:p w14:paraId="62B3B1C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9332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3.2.3. Програмске мере</w:t>
      </w:r>
    </w:p>
    <w:p w14:paraId="35EC610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52CE57" w14:textId="66EF8B7C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Овим мерама се операцио</w:t>
      </w:r>
      <w:r w:rsidR="00FC2AEC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нализују програми за остваривање и унапређење родне</w:t>
      </w:r>
    </w:p>
    <w:p w14:paraId="2BC2AB0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равноправности.</w:t>
      </w:r>
    </w:p>
    <w:p w14:paraId="55DFE660" w14:textId="2E1E17CD" w:rsidR="006B6E9F" w:rsidRPr="006E45B8" w:rsidRDefault="005A2F51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Позориште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услед потреба за остваривање и унапређење</w:t>
      </w:r>
      <w:r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родне равноправности доноси следеће програмске мере:</w:t>
      </w:r>
    </w:p>
    <w:p w14:paraId="0995C3E6" w14:textId="4043EF57" w:rsidR="006B6E9F" w:rsidRPr="006E45B8" w:rsidRDefault="00FC2AEC" w:rsidP="00FC2AEC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Имплементација родно осетљивог језика у интерним документима;</w:t>
      </w:r>
    </w:p>
    <w:p w14:paraId="51890BEC" w14:textId="3A45D679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Похађање обука, семинара и конференција за лица која се налазе у органима</w:t>
      </w:r>
    </w:p>
    <w:p w14:paraId="119B2D8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управљања у вези са родном равноправношћу;</w:t>
      </w:r>
    </w:p>
    <w:p w14:paraId="092DA6BA" w14:textId="07A442BE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Успостављање сарадње са државним органима и организацијама цивилног друштва</w:t>
      </w:r>
    </w:p>
    <w:p w14:paraId="3761E08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ради даље континуиране едукације свих запослених;</w:t>
      </w:r>
    </w:p>
    <w:p w14:paraId="40EF3BF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DB361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МЕРА 1. ИМПЛЕМЕНТАЦИЈА РОДНО ОСЕТЉИВОГ ЈЕЗИКА У ИНТЕРНИМ</w:t>
      </w:r>
    </w:p>
    <w:p w14:paraId="58B5CF6A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ДОКУМЕНТИМА</w:t>
      </w:r>
    </w:p>
    <w:p w14:paraId="51E2F9E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A48C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Недоследна употреба женског рода када означавамо жене које обављају одређена</w:t>
      </w:r>
    </w:p>
    <w:p w14:paraId="38E6815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занимања или јавне функције није питање граматичке правилности, јер је употреба</w:t>
      </w:r>
    </w:p>
    <w:p w14:paraId="7DFC9CED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женског рода граматички не само исправна већ и неопходна. Стога је доследна</w:t>
      </w:r>
    </w:p>
    <w:p w14:paraId="5F1D246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употреба језика равноправности питање свести о важности друштвене једнакости</w:t>
      </w:r>
    </w:p>
    <w:p w14:paraId="7C09C034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мушкараца и жена.</w:t>
      </w:r>
    </w:p>
    <w:p w14:paraId="1D1F8DB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C850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Разлог за увођење мере:</w:t>
      </w:r>
    </w:p>
    <w:p w14:paraId="35A1979D" w14:textId="1228B153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интерним документима у  позоришту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није присутан родно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сензитиван језик. Сва документација се води у граматички мушком роду и подразумева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природно мушки и женски род лица на који се односе.</w:t>
      </w:r>
    </w:p>
    <w:p w14:paraId="13422EB1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5E8C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Време за увођење мере:</w:t>
      </w:r>
    </w:p>
    <w:p w14:paraId="16C122FF" w14:textId="1F137B2A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Након усвајања Плана управљања ризицима</w:t>
      </w:r>
      <w:r w:rsidR="00FC2AEC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почеће се примењивање ове мере у интерним документима.</w:t>
      </w:r>
    </w:p>
    <w:p w14:paraId="0A68435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ED1F8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 спровођења и контроле спровођења мере:</w:t>
      </w:r>
    </w:p>
    <w:p w14:paraId="0FDE4DBD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Лице задужено за спровођење мера из родне равноправности ће вршити контролу свих</w:t>
      </w:r>
    </w:p>
    <w:p w14:paraId="5E59162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интерних докумената у складу са Приручником за употребу родно осетљивог језика</w:t>
      </w:r>
    </w:p>
    <w:p w14:paraId="1AB32BB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који је објављен на интернет страни Координационог тела за родну равнопраност Владе</w:t>
      </w:r>
    </w:p>
    <w:p w14:paraId="669FB2C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Републике Србије.</w:t>
      </w:r>
    </w:p>
    <w:p w14:paraId="179ABD8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5F58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Престанак спровођења мере:</w:t>
      </w:r>
    </w:p>
    <w:p w14:paraId="308A18B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Мера имплементације родно осетљивог језика је трајна тј. нема временско ограничење</w:t>
      </w:r>
    </w:p>
    <w:p w14:paraId="3CE1D215" w14:textId="4968CF14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спроводиће се од дана усвајања Плана управљања ризицима</w:t>
      </w:r>
      <w:r w:rsidR="00FC2AEC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4547A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DB556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МЕРА 2: ПОХАЂАЊЕ ОБУКА, СЕМИНАРА И КОНФЕРЕНЦИЈА ЗА ЛИЦА</w:t>
      </w:r>
    </w:p>
    <w:p w14:paraId="3366E6B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КОЈА СЕ НАЛАЗЕ У ОРГАНИМА УПРАВЉАЊА У ВЕЗИ СА РОДНОМ</w:t>
      </w:r>
    </w:p>
    <w:p w14:paraId="0DADE61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РАВНОПРАВНОШЋУ</w:t>
      </w:r>
    </w:p>
    <w:p w14:paraId="636077D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14BA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Разлог за увођење мере:</w:t>
      </w:r>
    </w:p>
    <w:p w14:paraId="0C1FADB2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Стицање нових знања и вештина у пуној примени принципа родне равноправности у</w:t>
      </w:r>
    </w:p>
    <w:p w14:paraId="3657345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организацији.</w:t>
      </w:r>
    </w:p>
    <w:p w14:paraId="4A7FF40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C18524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Време за увођење мере:</w:t>
      </w:r>
    </w:p>
    <w:p w14:paraId="001D6C5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Континуирано.</w:t>
      </w:r>
    </w:p>
    <w:p w14:paraId="03D1997A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99153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 спровођења и контроле спровођења мере:</w:t>
      </w:r>
    </w:p>
    <w:p w14:paraId="7348E13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Примена нових знања и вештина стечених на обукама, семинарима и конференцијама у</w:t>
      </w:r>
    </w:p>
    <w:p w14:paraId="4DF61B7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раду приликом:</w:t>
      </w:r>
    </w:p>
    <w:p w14:paraId="7588AA46" w14:textId="3CF2D2D4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утврђивања програмских циљева и начела и програма рада;</w:t>
      </w:r>
    </w:p>
    <w:p w14:paraId="16F93DE9" w14:textId="52C6DA29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одабира чла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нова  Надзорног и Управног одбора;</w:t>
      </w:r>
    </w:p>
    <w:p w14:paraId="72C8DE7F" w14:textId="359450F2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израде програмских и статутарних докумената, правилника и других аката;</w:t>
      </w:r>
    </w:p>
    <w:p w14:paraId="1F0C999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6CD54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Престанак спровођења мере:</w:t>
      </w:r>
    </w:p>
    <w:p w14:paraId="073DD63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Мера похађања обука, семинара и конференција за лица која се налазе у органима</w:t>
      </w:r>
    </w:p>
    <w:p w14:paraId="6A4FA6EA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управљања је трајна тј. нема временско ограничење и спроводиће се од дана усвајања</w:t>
      </w:r>
    </w:p>
    <w:p w14:paraId="0CC33BE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Плана управљања ризицима .</w:t>
      </w:r>
    </w:p>
    <w:p w14:paraId="38DE8934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4259C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МЕРА 3. УСПОСТАВЉАЊЕ САРАДЊЕ СА ДРЖАВНИМ ОРГАНИМА И</w:t>
      </w:r>
    </w:p>
    <w:p w14:paraId="287AB82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ОРГАНИЗАЦИЈАМА ЦИВИЛНОГ ДРУШТВА</w:t>
      </w:r>
    </w:p>
    <w:p w14:paraId="06F784F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Разлог за увођење мере:</w:t>
      </w:r>
    </w:p>
    <w:p w14:paraId="60B5A91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Успостављањем континуиране сарадње са државним органима и организацијама</w:t>
      </w:r>
    </w:p>
    <w:p w14:paraId="3423ABC5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цивилног друштва у виду размене информација и знања са циљем унапређења родне</w:t>
      </w:r>
    </w:p>
    <w:p w14:paraId="5781800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равноправности омогућава се једноставнија имплементација обавеза проистеклих из</w:t>
      </w:r>
    </w:p>
    <w:p w14:paraId="1E1A6A9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законских и подзаконских аката.</w:t>
      </w:r>
    </w:p>
    <w:p w14:paraId="7678AE1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CD81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Време за увођење мере:</w:t>
      </w:r>
    </w:p>
    <w:p w14:paraId="7DBADBDE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Први и други квартал 2023. године.</w:t>
      </w:r>
    </w:p>
    <w:p w14:paraId="0491DAF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A37BB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 спровођења и контроле спровођења мере:</w:t>
      </w:r>
    </w:p>
    <w:p w14:paraId="5388E064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Спровођење ове мере се врши потписивањем Меморандума о сарадњи, разменом</w:t>
      </w:r>
    </w:p>
    <w:p w14:paraId="451545E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информација из области родне равноправности, одржавањем округлих столова и</w:t>
      </w:r>
    </w:p>
    <w:p w14:paraId="5C278622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презентација, учествовањем на панелним дискусијама о искуствима у спровођењу</w:t>
      </w:r>
    </w:p>
    <w:p w14:paraId="7351B0A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родне равноправности.</w:t>
      </w:r>
    </w:p>
    <w:p w14:paraId="1FF3AD0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18071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Престанак спровођења мере:</w:t>
      </w:r>
    </w:p>
    <w:p w14:paraId="05E950E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Мера успостављања сарадње са државним органима и организацијама цивилног</w:t>
      </w:r>
    </w:p>
    <w:p w14:paraId="62D1B6A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друштва је континуирана.</w:t>
      </w:r>
    </w:p>
    <w:p w14:paraId="33D477F5" w14:textId="77777777" w:rsidR="00842D5C" w:rsidRPr="006E45B8" w:rsidRDefault="00842D5C" w:rsidP="00842D5C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ПОДАЦИ О ЛИЦИМА ОДГОВОРНИМ ЗА СПРОВОЂЕЊЕ</w:t>
      </w:r>
    </w:p>
    <w:p w14:paraId="790ACDA4" w14:textId="77777777" w:rsidR="00842D5C" w:rsidRPr="006E45B8" w:rsidRDefault="00842D5C" w:rsidP="00842D5C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МЕРА ИЗ ПЛАНА УПРАВЉАЊА РИЗИЦИМА</w:t>
      </w:r>
    </w:p>
    <w:p w14:paraId="2E80030B" w14:textId="77777777" w:rsidR="00842D5C" w:rsidRPr="006E45B8" w:rsidRDefault="00842D5C" w:rsidP="00842D5C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17738" w14:textId="77777777" w:rsidR="00842D5C" w:rsidRPr="006E45B8" w:rsidRDefault="00842D5C" w:rsidP="00842D5C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Одговорна лица у спровођењу мера из Плана управљања ризицима</w:t>
      </w:r>
    </w:p>
    <w:p w14:paraId="291ECAE2" w14:textId="1C58A16F" w:rsidR="006B6E9F" w:rsidRPr="006E45B8" w:rsidRDefault="006B6E9F" w:rsidP="00842D5C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A082F" w14:textId="7036C647" w:rsidR="006B6E9F" w:rsidRPr="00C25C74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1.Јелена Томић</w:t>
      </w:r>
      <w:r w:rsid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45B8" w:rsidRPr="006E45B8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самостални финансијско рачуноводствени сарадник</w:t>
      </w:r>
      <w:r w:rsidR="00C25C74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25C74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C25C74" w:rsidRPr="0001397A">
          <w:rPr>
            <w:rStyle w:val="Hyperlink"/>
            <w:rFonts w:ascii="Arial" w:hAnsi="Arial" w:cs="Arial"/>
            <w:b w:val="0"/>
            <w:bCs w:val="0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jelena.tomic@npnkn.org</w:t>
        </w:r>
      </w:hyperlink>
      <w:r w:rsidR="00C25C74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25C74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телефон </w:t>
      </w:r>
      <w:r w:rsidR="00C25C74">
        <w:rPr>
          <w:rStyle w:val="Hyperlink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0653502402.</w:t>
      </w:r>
    </w:p>
    <w:p w14:paraId="21F8C2E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58D002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ЗАКЉУЧАК</w:t>
      </w:r>
    </w:p>
    <w:p w14:paraId="6D30C540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будућем деловању потребно је обезбедити и подстаћи организовање и укључивање</w:t>
      </w:r>
    </w:p>
    <w:p w14:paraId="030C1101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запослених жена и обезбедити њихово активно и равноправно учешће у колективним</w:t>
      </w:r>
    </w:p>
    <w:p w14:paraId="00F50472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преговарањима са послодавцем.</w:t>
      </w:r>
    </w:p>
    <w:p w14:paraId="52B83BEB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ту сврху овим актом доносе се следеће подстицајне и програмске мере:</w:t>
      </w:r>
    </w:p>
    <w:p w14:paraId="00DF812F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B8E24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А) Подстицајна мера</w:t>
      </w:r>
    </w:p>
    <w:p w14:paraId="4E38B90B" w14:textId="03530622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Активирање већег броја жена у органе одлучивања и ангажовање и предлагање за</w:t>
      </w:r>
    </w:p>
    <w:p w14:paraId="711FC8A7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ангажовање већег броја жена у поступцима избора и доношења одлука.</w:t>
      </w:r>
    </w:p>
    <w:p w14:paraId="231F0299" w14:textId="77777777" w:rsidR="00FC2AEC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1952B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Б) Програмске мере</w:t>
      </w:r>
    </w:p>
    <w:p w14:paraId="19A47F0C" w14:textId="36F2B48A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Имплементација родно осетљивог језика у интерним документима;</w:t>
      </w:r>
    </w:p>
    <w:p w14:paraId="56AA9C8A" w14:textId="0D98DB42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Похађање обука, семинара и конференција за лица која се налазе у органима</w:t>
      </w:r>
    </w:p>
    <w:p w14:paraId="6A444846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управљања у вези са родном равноправношћу;</w:t>
      </w:r>
    </w:p>
    <w:p w14:paraId="001148C0" w14:textId="32C27B6D" w:rsidR="006B6E9F" w:rsidRPr="006E45B8" w:rsidRDefault="00FC2AEC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Успостављање сарадње са државним органима и организацијама цивилног друштва ради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E9F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даље континуиране едукације свих запослених;</w:t>
      </w:r>
    </w:p>
    <w:p w14:paraId="3220AE6A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9CFCF" w14:textId="077BA760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Све мере су донете са циљем континуираног унапређења родне равноправности у</w:t>
      </w:r>
      <w:r w:rsidR="00FC2AEC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позоришту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C11F40" w14:textId="10711BC6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Спровођење мера се врши континуирано кроз процесе доношења одлука,</w:t>
      </w:r>
      <w:r w:rsidR="00C21CE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квалитативним извештавањем органа руковођења о свим битним елементима везаним</w:t>
      </w:r>
      <w:r w:rsidR="00C21CE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родну равноправност, као и подизањем свести код чланова о значају примене</w:t>
      </w:r>
      <w:r w:rsidR="00C21CE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принципа родне равноправности.</w:t>
      </w:r>
    </w:p>
    <w:p w14:paraId="5061B26E" w14:textId="51190BCF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Како су предложене мере дугорочне или трајне не постоји рок за њихов завршетак већ</w:t>
      </w:r>
      <w:r w:rsidR="00C21CE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ће се оне примењивати у континуитету.</w:t>
      </w:r>
    </w:p>
    <w:p w14:paraId="30738D65" w14:textId="05FB48AD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Коначни циљ који се жели постићи усвајањем Плана управљања ризицима и</w:t>
      </w:r>
      <w:r w:rsidR="00C21CE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спровођењем мера које су у њему наведене је да се могућност да дође до повреде</w:t>
      </w:r>
      <w:r w:rsidR="00C21CE2"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принципа родне равноправности сведе на минимум.</w:t>
      </w:r>
    </w:p>
    <w:p w14:paraId="5C04341B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4FD689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ПРИЛОЗИ</w:t>
      </w:r>
    </w:p>
    <w:p w14:paraId="19E620BC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– Одлука о именовању лица за спровођење мера из области родне</w:t>
      </w:r>
    </w:p>
    <w:p w14:paraId="2C82936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равноправности</w:t>
      </w:r>
    </w:p>
    <w:p w14:paraId="285DBEB8" w14:textId="77777777" w:rsidR="006B6E9F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– Одлука о усвајању Плана управљања ризицима од повреде принципа родне</w:t>
      </w:r>
    </w:p>
    <w:p w14:paraId="0A20A789" w14:textId="2F6A6CB1" w:rsidR="00C13C81" w:rsidRPr="006E45B8" w:rsidRDefault="006B6E9F" w:rsidP="006B6E9F">
      <w:pPr>
        <w:jc w:val="both"/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5B8">
        <w:rPr>
          <w:rStyle w:val="Hyperlink"/>
          <w:rFonts w:ascii="Arial" w:hAnsi="Arial" w:cs="Arial"/>
          <w:b w:val="0"/>
          <w:color w:val="000000" w:themeColor="text1"/>
          <w:sz w:val="22"/>
          <w:szCs w:val="22"/>
          <w:u w:val="none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равноправности</w:t>
      </w:r>
    </w:p>
    <w:p w14:paraId="518ED1E9" w14:textId="675C6D9D" w:rsidR="00842D5C" w:rsidRPr="006E45B8" w:rsidRDefault="00842D5C" w:rsidP="00842D5C">
      <w:pPr>
        <w:rPr>
          <w:rFonts w:ascii="Arial" w:hAnsi="Arial" w:cs="Arial"/>
          <w:bCs/>
          <w:lang w:val="sr-Cyrl-RS"/>
        </w:rPr>
      </w:pPr>
      <w:r w:rsidRPr="006E45B8">
        <w:rPr>
          <w:rFonts w:ascii="Arial" w:hAnsi="Arial" w:cs="Arial"/>
          <w:bCs/>
          <w:lang w:val="sr-Cyrl-RS"/>
        </w:rPr>
        <w:t>III - Списак државних органа и организација цивилног друштва које се баве</w:t>
      </w:r>
    </w:p>
    <w:p w14:paraId="6F17A604" w14:textId="77777777" w:rsidR="00842D5C" w:rsidRPr="006E45B8" w:rsidRDefault="00842D5C" w:rsidP="00842D5C">
      <w:pPr>
        <w:rPr>
          <w:rFonts w:ascii="Arial" w:hAnsi="Arial" w:cs="Arial"/>
          <w:bCs/>
          <w:lang w:val="sr-Cyrl-RS"/>
        </w:rPr>
      </w:pPr>
      <w:r w:rsidRPr="006E45B8">
        <w:rPr>
          <w:rFonts w:ascii="Arial" w:hAnsi="Arial" w:cs="Arial"/>
          <w:bCs/>
          <w:lang w:val="sr-Cyrl-RS"/>
        </w:rPr>
        <w:t>унапређењем принципа родне равноправности</w:t>
      </w:r>
    </w:p>
    <w:p w14:paraId="18253038" w14:textId="77777777" w:rsidR="00842D5C" w:rsidRPr="006E45B8" w:rsidRDefault="00842D5C" w:rsidP="00842D5C">
      <w:pPr>
        <w:rPr>
          <w:rFonts w:ascii="Arial" w:hAnsi="Arial" w:cs="Arial"/>
          <w:bCs/>
          <w:lang w:val="sr-Cyrl-RS"/>
        </w:rPr>
      </w:pPr>
    </w:p>
    <w:tbl>
      <w:tblPr>
        <w:tblStyle w:val="TableGrid"/>
        <w:tblW w:w="14907" w:type="dxa"/>
        <w:tblLook w:val="04A0" w:firstRow="1" w:lastRow="0" w:firstColumn="1" w:lastColumn="0" w:noHBand="0" w:noVBand="1"/>
      </w:tblPr>
      <w:tblGrid>
        <w:gridCol w:w="893"/>
        <w:gridCol w:w="2507"/>
        <w:gridCol w:w="1786"/>
        <w:gridCol w:w="4401"/>
        <w:gridCol w:w="4730"/>
        <w:gridCol w:w="590"/>
      </w:tblGrid>
      <w:tr w:rsidR="0033190B" w:rsidRPr="006E45B8" w14:paraId="69BCB22C" w14:textId="77777777" w:rsidTr="00D87166">
        <w:trPr>
          <w:gridAfter w:val="2"/>
          <w:wAfter w:w="5792" w:type="dxa"/>
        </w:trPr>
        <w:tc>
          <w:tcPr>
            <w:tcW w:w="800" w:type="dxa"/>
          </w:tcPr>
          <w:p w14:paraId="617C1608" w14:textId="70660FC3" w:rsidR="0033190B" w:rsidRPr="006E45B8" w:rsidRDefault="0033190B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>Редни</w:t>
            </w:r>
          </w:p>
          <w:p w14:paraId="0CD67C8C" w14:textId="1677AA66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>број</w:t>
            </w:r>
          </w:p>
        </w:tc>
        <w:tc>
          <w:tcPr>
            <w:tcW w:w="2448" w:type="dxa"/>
          </w:tcPr>
          <w:p w14:paraId="66FF0415" w14:textId="77777777" w:rsidR="0033190B" w:rsidRPr="006E45B8" w:rsidRDefault="0033190B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>Назив државног</w:t>
            </w:r>
          </w:p>
          <w:p w14:paraId="2D14335E" w14:textId="6C8DF2C4" w:rsidR="0033190B" w:rsidRPr="006E45B8" w:rsidRDefault="00BA7AD2" w:rsidP="00BA7AD2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>органа/организације</w:t>
            </w:r>
          </w:p>
        </w:tc>
        <w:tc>
          <w:tcPr>
            <w:tcW w:w="1846" w:type="dxa"/>
          </w:tcPr>
          <w:p w14:paraId="0878DB62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7AB8B903" w14:textId="69B34EDC" w:rsidR="0033190B" w:rsidRPr="006E45B8" w:rsidRDefault="0033190B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 xml:space="preserve">телефон </w:t>
            </w:r>
          </w:p>
          <w:p w14:paraId="1B9E8FB8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1B74CD25" w14:textId="20B49739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4021" w:type="dxa"/>
          </w:tcPr>
          <w:p w14:paraId="22F41290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7F942B7A" w14:textId="2A68989D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еmail</w:t>
            </w:r>
          </w:p>
          <w:p w14:paraId="6AEEC673" w14:textId="3EAA401A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  <w:tr w:rsidR="0033190B" w:rsidRPr="006E45B8" w14:paraId="44A7D3C4" w14:textId="77777777" w:rsidTr="00D87166">
        <w:trPr>
          <w:gridAfter w:val="2"/>
          <w:wAfter w:w="5792" w:type="dxa"/>
        </w:trPr>
        <w:tc>
          <w:tcPr>
            <w:tcW w:w="800" w:type="dxa"/>
          </w:tcPr>
          <w:p w14:paraId="1CA74822" w14:textId="77777777" w:rsidR="00BA7AD2" w:rsidRPr="006E45B8" w:rsidRDefault="00BA7AD2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  <w:p w14:paraId="58870ECD" w14:textId="77777777" w:rsidR="00BA7AD2" w:rsidRPr="006E45B8" w:rsidRDefault="00BA7AD2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</w:p>
          <w:p w14:paraId="070C3288" w14:textId="504FAF21" w:rsidR="0033190B" w:rsidRPr="006E45B8" w:rsidRDefault="00BA7AD2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  <w:r w:rsidR="0033190B" w:rsidRPr="006E45B8">
              <w:rPr>
                <w:rFonts w:ascii="Arial" w:hAnsi="Arial" w:cs="Arial"/>
                <w:b/>
                <w:bCs/>
                <w:lang w:val="sr-Cyrl-RS"/>
              </w:rPr>
              <w:t>1.</w:t>
            </w:r>
          </w:p>
        </w:tc>
        <w:tc>
          <w:tcPr>
            <w:tcW w:w="2448" w:type="dxa"/>
          </w:tcPr>
          <w:p w14:paraId="4658A89F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Координационо тело за родну</w:t>
            </w:r>
          </w:p>
          <w:p w14:paraId="5249A8DD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равноправност</w:t>
            </w:r>
          </w:p>
          <w:p w14:paraId="6EDFFC9A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Владе Републике Србије</w:t>
            </w:r>
          </w:p>
          <w:p w14:paraId="6EADE792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1846" w:type="dxa"/>
          </w:tcPr>
          <w:p w14:paraId="49F34DA7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15F6E56C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5E3FA03E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011/361-9833</w:t>
            </w:r>
          </w:p>
          <w:p w14:paraId="79FB3823" w14:textId="61E170E3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4021" w:type="dxa"/>
          </w:tcPr>
          <w:p w14:paraId="3BCC2D56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4E81FB4A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rodna.ravnopravnost@gov.rs</w:t>
            </w:r>
          </w:p>
          <w:p w14:paraId="6B921514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kabinet@mre.gov.rs</w:t>
            </w:r>
          </w:p>
          <w:p w14:paraId="35A5816A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  <w:tr w:rsidR="0033190B" w:rsidRPr="006E45B8" w14:paraId="4C08169F" w14:textId="51594B68" w:rsidTr="00D87166">
        <w:tc>
          <w:tcPr>
            <w:tcW w:w="800" w:type="dxa"/>
          </w:tcPr>
          <w:p w14:paraId="1BFE6AF8" w14:textId="77777777" w:rsidR="00BA7AD2" w:rsidRPr="006E45B8" w:rsidRDefault="00BA7AD2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0A5A67BE" w14:textId="77777777" w:rsidR="00BA7AD2" w:rsidRPr="006E45B8" w:rsidRDefault="00BA7AD2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7573DBFE" w14:textId="494A879D" w:rsidR="0033190B" w:rsidRPr="006E45B8" w:rsidRDefault="00BA7AD2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 xml:space="preserve">  </w:t>
            </w:r>
            <w:r w:rsidR="0033190B" w:rsidRPr="006E45B8">
              <w:rPr>
                <w:rFonts w:ascii="Arial" w:hAnsi="Arial" w:cs="Arial"/>
                <w:b/>
                <w:bCs/>
                <w:lang w:val="sr-Cyrl-RS"/>
              </w:rPr>
              <w:t>2.</w:t>
            </w:r>
          </w:p>
        </w:tc>
        <w:tc>
          <w:tcPr>
            <w:tcW w:w="2448" w:type="dxa"/>
          </w:tcPr>
          <w:p w14:paraId="15F18232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Сектор за антидискриминациону</w:t>
            </w:r>
          </w:p>
          <w:p w14:paraId="6D1C766D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политику и родну равноправност</w:t>
            </w:r>
          </w:p>
          <w:p w14:paraId="77F831A0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Министарства за људска и</w:t>
            </w:r>
          </w:p>
          <w:p w14:paraId="0794B50C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мањинска права и друштвени</w:t>
            </w:r>
          </w:p>
          <w:p w14:paraId="6EF252D1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дијалог</w:t>
            </w:r>
          </w:p>
          <w:p w14:paraId="14ACC7B7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1846" w:type="dxa"/>
          </w:tcPr>
          <w:p w14:paraId="5382A02F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492A7D13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011/214-2021</w:t>
            </w:r>
          </w:p>
          <w:p w14:paraId="78CB9EA6" w14:textId="7E0D10F3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011/311-0574</w:t>
            </w:r>
          </w:p>
        </w:tc>
        <w:tc>
          <w:tcPr>
            <w:tcW w:w="4021" w:type="dxa"/>
          </w:tcPr>
          <w:p w14:paraId="74CDD8DA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161529DC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44F3962B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1A5515B5" w14:textId="77777777" w:rsidR="00D87166" w:rsidRPr="006E45B8" w:rsidRDefault="00D87166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0DB5D335" w14:textId="77777777" w:rsidR="00BA7AD2" w:rsidRPr="006E45B8" w:rsidRDefault="00BA7AD2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137440F1" w14:textId="77777777" w:rsidR="00BA7AD2" w:rsidRPr="006E45B8" w:rsidRDefault="00BA7AD2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36923E6A" w14:textId="180515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antidiskriminacija.rodna@minljmpdd.gov.rs</w:t>
            </w:r>
          </w:p>
        </w:tc>
        <w:tc>
          <w:tcPr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79B935FE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626" w:type="dxa"/>
            <w:shd w:val="clear" w:color="auto" w:fill="auto"/>
          </w:tcPr>
          <w:p w14:paraId="69AEB19D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  <w:tr w:rsidR="0033190B" w:rsidRPr="006E45B8" w14:paraId="5B29EBFE" w14:textId="77777777" w:rsidTr="00D87166">
        <w:trPr>
          <w:gridAfter w:val="2"/>
          <w:wAfter w:w="5792" w:type="dxa"/>
        </w:trPr>
        <w:tc>
          <w:tcPr>
            <w:tcW w:w="800" w:type="dxa"/>
          </w:tcPr>
          <w:p w14:paraId="4B417697" w14:textId="77777777" w:rsidR="00BA7AD2" w:rsidRPr="006E45B8" w:rsidRDefault="00BA7AD2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6D58C021" w14:textId="296F4F8E" w:rsidR="0033190B" w:rsidRPr="006E45B8" w:rsidRDefault="00BA7AD2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  <w:r w:rsidR="0033190B" w:rsidRPr="006E45B8">
              <w:rPr>
                <w:rFonts w:ascii="Arial" w:hAnsi="Arial" w:cs="Arial"/>
                <w:b/>
                <w:bCs/>
                <w:lang w:val="sr-Cyrl-RS"/>
              </w:rPr>
              <w:t>3.</w:t>
            </w:r>
          </w:p>
        </w:tc>
        <w:tc>
          <w:tcPr>
            <w:tcW w:w="2448" w:type="dxa"/>
          </w:tcPr>
          <w:p w14:paraId="1C709A2F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4C73C5F1" w14:textId="41C4DD35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Заштитник грађана</w:t>
            </w:r>
          </w:p>
        </w:tc>
        <w:tc>
          <w:tcPr>
            <w:tcW w:w="1846" w:type="dxa"/>
          </w:tcPr>
          <w:p w14:paraId="00CFA130" w14:textId="1F2ACE1A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011/206-8100</w:t>
            </w:r>
          </w:p>
        </w:tc>
        <w:tc>
          <w:tcPr>
            <w:tcW w:w="4021" w:type="dxa"/>
          </w:tcPr>
          <w:p w14:paraId="479C1C25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zastitnik@zastitnik.rs</w:t>
            </w:r>
          </w:p>
          <w:p w14:paraId="4AF099AC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kabinet@zastitnik.rs</w:t>
            </w:r>
          </w:p>
          <w:p w14:paraId="386750D5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  <w:tr w:rsidR="0033190B" w:rsidRPr="006E45B8" w14:paraId="2598E857" w14:textId="77777777" w:rsidTr="00D87166">
        <w:trPr>
          <w:gridAfter w:val="2"/>
          <w:wAfter w:w="5792" w:type="dxa"/>
        </w:trPr>
        <w:tc>
          <w:tcPr>
            <w:tcW w:w="800" w:type="dxa"/>
          </w:tcPr>
          <w:p w14:paraId="2E4BC61D" w14:textId="77777777" w:rsidR="00BA7AD2" w:rsidRPr="006E45B8" w:rsidRDefault="00BA7AD2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724F534D" w14:textId="2BFC23F9" w:rsidR="0033190B" w:rsidRPr="006E45B8" w:rsidRDefault="00BA7AD2" w:rsidP="00ED2E3A">
            <w:pPr>
              <w:rPr>
                <w:rFonts w:ascii="Arial" w:hAnsi="Arial" w:cs="Arial"/>
                <w:b/>
                <w:bCs/>
                <w:lang w:val="sr-Cyrl-RS"/>
              </w:rPr>
            </w:pPr>
            <w:r w:rsidRPr="006E45B8"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  <w:r w:rsidR="0033190B" w:rsidRPr="006E45B8">
              <w:rPr>
                <w:rFonts w:ascii="Arial" w:hAnsi="Arial" w:cs="Arial"/>
                <w:b/>
                <w:bCs/>
                <w:lang w:val="sr-Cyrl-RS"/>
              </w:rPr>
              <w:t>4.</w:t>
            </w:r>
          </w:p>
        </w:tc>
        <w:tc>
          <w:tcPr>
            <w:tcW w:w="2448" w:type="dxa"/>
          </w:tcPr>
          <w:p w14:paraId="4E1B68B7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Пoвeрeник зa зaштиту</w:t>
            </w:r>
          </w:p>
          <w:p w14:paraId="0C8D1BCF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рaвнoпрaвнoсти</w:t>
            </w:r>
          </w:p>
          <w:p w14:paraId="5B482977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  <w:tc>
          <w:tcPr>
            <w:tcW w:w="1846" w:type="dxa"/>
          </w:tcPr>
          <w:p w14:paraId="6C976C0F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  <w:p w14:paraId="08197A15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011/243-8020</w:t>
            </w:r>
          </w:p>
          <w:p w14:paraId="683B9D9E" w14:textId="546D2A34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011/243-6464</w:t>
            </w:r>
          </w:p>
        </w:tc>
        <w:tc>
          <w:tcPr>
            <w:tcW w:w="4021" w:type="dxa"/>
          </w:tcPr>
          <w:p w14:paraId="69A968C4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  <w:r w:rsidRPr="006E45B8">
              <w:rPr>
                <w:rFonts w:ascii="Arial" w:hAnsi="Arial" w:cs="Arial"/>
                <w:bCs/>
                <w:lang w:val="sr-Cyrl-RS"/>
              </w:rPr>
              <w:t>poverenik@ravnopravnost.gov.rs</w:t>
            </w:r>
          </w:p>
          <w:p w14:paraId="521A9EEC" w14:textId="77777777" w:rsidR="0033190B" w:rsidRPr="006E45B8" w:rsidRDefault="0033190B" w:rsidP="00ED2E3A">
            <w:pPr>
              <w:rPr>
                <w:rFonts w:ascii="Arial" w:hAnsi="Arial" w:cs="Arial"/>
                <w:bCs/>
                <w:lang w:val="sr-Cyrl-RS"/>
              </w:rPr>
            </w:pPr>
          </w:p>
        </w:tc>
      </w:tr>
    </w:tbl>
    <w:p w14:paraId="02A4E5ED" w14:textId="77777777" w:rsidR="00842D5C" w:rsidRPr="006E45B8" w:rsidRDefault="00842D5C" w:rsidP="00842D5C">
      <w:pPr>
        <w:rPr>
          <w:rFonts w:ascii="Arial" w:hAnsi="Arial" w:cs="Arial"/>
          <w:bCs/>
          <w:lang w:val="sr-Cyrl-RS"/>
        </w:rPr>
      </w:pPr>
    </w:p>
    <w:p w14:paraId="3EF0F055" w14:textId="77777777" w:rsidR="00842D5C" w:rsidRPr="006E45B8" w:rsidRDefault="00842D5C" w:rsidP="00842D5C">
      <w:pPr>
        <w:rPr>
          <w:rFonts w:ascii="Arial" w:hAnsi="Arial" w:cs="Arial"/>
          <w:bCs/>
          <w:lang w:val="sr-Cyrl-RS"/>
        </w:rPr>
      </w:pPr>
    </w:p>
    <w:p w14:paraId="0F35EBE7" w14:textId="23252430" w:rsidR="00842D5C" w:rsidRPr="006E45B8" w:rsidRDefault="00842D5C" w:rsidP="00842D5C">
      <w:pPr>
        <w:rPr>
          <w:rFonts w:ascii="Arial" w:hAnsi="Arial" w:cs="Arial"/>
          <w:bCs/>
          <w:lang w:val="sr-Cyrl-RS"/>
        </w:rPr>
      </w:pPr>
    </w:p>
    <w:sectPr w:rsidR="00842D5C" w:rsidRPr="006E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2E96"/>
    <w:multiLevelType w:val="hybridMultilevel"/>
    <w:tmpl w:val="7584D2FE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D461125"/>
    <w:multiLevelType w:val="hybridMultilevel"/>
    <w:tmpl w:val="133C372C"/>
    <w:lvl w:ilvl="0" w:tplc="538EF9F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4BD4"/>
    <w:multiLevelType w:val="multilevel"/>
    <w:tmpl w:val="8ED050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8C36180"/>
    <w:multiLevelType w:val="hybridMultilevel"/>
    <w:tmpl w:val="88DA903E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F34AAE"/>
    <w:multiLevelType w:val="hybridMultilevel"/>
    <w:tmpl w:val="D0E0C514"/>
    <w:lvl w:ilvl="0" w:tplc="556225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4A73"/>
    <w:multiLevelType w:val="hybridMultilevel"/>
    <w:tmpl w:val="8726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E6"/>
    <w:rsid w:val="000154E6"/>
    <w:rsid w:val="00110477"/>
    <w:rsid w:val="00146465"/>
    <w:rsid w:val="0017384D"/>
    <w:rsid w:val="0026345B"/>
    <w:rsid w:val="00330D54"/>
    <w:rsid w:val="0033190B"/>
    <w:rsid w:val="003D33EB"/>
    <w:rsid w:val="0049195B"/>
    <w:rsid w:val="00586562"/>
    <w:rsid w:val="0059451D"/>
    <w:rsid w:val="005A215F"/>
    <w:rsid w:val="005A2F51"/>
    <w:rsid w:val="00610CD7"/>
    <w:rsid w:val="006771E7"/>
    <w:rsid w:val="006A1B2C"/>
    <w:rsid w:val="006B0A91"/>
    <w:rsid w:val="006B6E9F"/>
    <w:rsid w:val="006E45B8"/>
    <w:rsid w:val="007B3189"/>
    <w:rsid w:val="00842D5C"/>
    <w:rsid w:val="00873D05"/>
    <w:rsid w:val="009E301B"/>
    <w:rsid w:val="00B674F9"/>
    <w:rsid w:val="00BA7AD2"/>
    <w:rsid w:val="00BC050B"/>
    <w:rsid w:val="00BD1E88"/>
    <w:rsid w:val="00BD2062"/>
    <w:rsid w:val="00C05E49"/>
    <w:rsid w:val="00C13C81"/>
    <w:rsid w:val="00C21CE2"/>
    <w:rsid w:val="00C25C74"/>
    <w:rsid w:val="00C774F8"/>
    <w:rsid w:val="00C932B4"/>
    <w:rsid w:val="00CE6C98"/>
    <w:rsid w:val="00D166E6"/>
    <w:rsid w:val="00D42ED0"/>
    <w:rsid w:val="00D61F9D"/>
    <w:rsid w:val="00D87166"/>
    <w:rsid w:val="00DF5EA2"/>
    <w:rsid w:val="00E40DF2"/>
    <w:rsid w:val="00E430AC"/>
    <w:rsid w:val="00EA58A9"/>
    <w:rsid w:val="00ED2E3A"/>
    <w:rsid w:val="00EE1B74"/>
    <w:rsid w:val="00F47BF0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3516"/>
  <w15:docId w15:val="{4EE697ED-B86F-4EDD-BE99-939AFD9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195B"/>
    <w:rPr>
      <w:rFonts w:ascii="Times New Roman" w:hAnsi="Times New Roman" w:cs="Times New Roman"/>
      <w:b/>
      <w:bCs/>
      <w:color w:val="003399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10CD7"/>
    <w:pPr>
      <w:ind w:left="720"/>
      <w:contextualSpacing/>
    </w:pPr>
  </w:style>
  <w:style w:type="table" w:styleId="TableGrid">
    <w:name w:val="Table Grid"/>
    <w:basedOn w:val="TableNormal"/>
    <w:uiPriority w:val="39"/>
    <w:rsid w:val="0058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tomic@npnk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hyperlink" Target="mailto:npnkn@npnk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3319</Words>
  <Characters>18923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Narodno Pozoriste</cp:lastModifiedBy>
  <cp:revision>2</cp:revision>
  <dcterms:created xsi:type="dcterms:W3CDTF">2022-12-29T08:40:00Z</dcterms:created>
  <dcterms:modified xsi:type="dcterms:W3CDTF">2022-12-29T08:40:00Z</dcterms:modified>
</cp:coreProperties>
</file>